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73C9A" w14:textId="77777777" w:rsidR="00501062" w:rsidRPr="00D52D40" w:rsidRDefault="00501062" w:rsidP="00501062">
      <w:pPr>
        <w:pStyle w:val="Title"/>
      </w:pPr>
      <w:r>
        <w:t xml:space="preserve">Determining Responsible Person </w:t>
      </w:r>
      <w:r w:rsidR="00827F0C">
        <w:t>Policy</w:t>
      </w:r>
    </w:p>
    <w:p w14:paraId="037CBB10" w14:textId="77777777" w:rsidR="00501062" w:rsidRPr="00D52D40" w:rsidRDefault="00501062" w:rsidP="00501062">
      <w:pPr>
        <w:pStyle w:val="Mandatory"/>
      </w:pPr>
      <w:r>
        <w:t>Mandatory – Quality Area 4</w:t>
      </w:r>
    </w:p>
    <w:p w14:paraId="6321037E" w14:textId="77777777" w:rsidR="00501062" w:rsidRPr="002B06BE" w:rsidRDefault="00501062" w:rsidP="00501062">
      <w:pPr>
        <w:pStyle w:val="Heading1"/>
      </w:pPr>
      <w:r w:rsidRPr="00815441">
        <w:t>PURPOSE</w:t>
      </w:r>
    </w:p>
    <w:p w14:paraId="048FD8D6" w14:textId="77777777" w:rsidR="00501062" w:rsidRPr="00815441" w:rsidRDefault="00501062" w:rsidP="00501062">
      <w:pPr>
        <w:pStyle w:val="BodyText"/>
      </w:pPr>
      <w:r w:rsidRPr="00815441">
        <w:t xml:space="preserve">This policy will provide guidelines to assist in determining the Responsible Person at </w:t>
      </w:r>
      <w:fldSimple w:instr=" DOCPROPERTY  Company  \* MERGEFORMAT ">
        <w:r w:rsidR="00993F02">
          <w:t xml:space="preserve">Box Hill North Primary School Kindergarten </w:t>
        </w:r>
      </w:fldSimple>
      <w:r w:rsidRPr="00815441">
        <w:t>.</w:t>
      </w:r>
    </w:p>
    <w:p w14:paraId="1D7E37FA" w14:textId="77777777" w:rsidR="00501062" w:rsidRPr="00815441" w:rsidRDefault="00501062" w:rsidP="00501062">
      <w:pPr>
        <w:pStyle w:val="Heading1"/>
      </w:pPr>
      <w:r w:rsidRPr="00815441">
        <w:t>Policy statement</w:t>
      </w:r>
    </w:p>
    <w:p w14:paraId="0E362812" w14:textId="77777777" w:rsidR="00501062" w:rsidRPr="00815441" w:rsidRDefault="00501062" w:rsidP="00501062">
      <w:pPr>
        <w:pStyle w:val="Heading2"/>
      </w:pPr>
      <w:r w:rsidRPr="00815441">
        <w:t>Values</w:t>
      </w:r>
    </w:p>
    <w:p w14:paraId="4EAC017F" w14:textId="77777777" w:rsidR="00501062" w:rsidRPr="00815441" w:rsidRDefault="007518A9" w:rsidP="00501062">
      <w:pPr>
        <w:pStyle w:val="BodyText3ptAfter"/>
      </w:pPr>
      <w:fldSimple w:instr=" DOCPROPERTY  Company  \* MERGEFORMAT ">
        <w:r w:rsidR="00993F02">
          <w:t xml:space="preserve">Box Hill North Primary School Kindergarten </w:t>
        </w:r>
      </w:fldSimple>
      <w:r w:rsidR="00501062" w:rsidRPr="00815441">
        <w:t xml:space="preserve"> is committed to:</w:t>
      </w:r>
    </w:p>
    <w:p w14:paraId="37C23F80" w14:textId="77777777" w:rsidR="00501062" w:rsidRPr="00815441" w:rsidRDefault="00501062" w:rsidP="00501062">
      <w:pPr>
        <w:pStyle w:val="Bullets1"/>
        <w:ind w:left="284" w:hanging="284"/>
      </w:pPr>
      <w:r w:rsidRPr="00815441">
        <w:t xml:space="preserve">meeting its duty of care (refer to </w:t>
      </w:r>
      <w:r w:rsidRPr="002154F6">
        <w:rPr>
          <w:i/>
        </w:rPr>
        <w:t>Definitions</w:t>
      </w:r>
      <w:r w:rsidRPr="00815441">
        <w:t>) obligations under the law</w:t>
      </w:r>
    </w:p>
    <w:p w14:paraId="320AED97" w14:textId="77777777" w:rsidR="00501062" w:rsidRPr="00815441" w:rsidRDefault="00501062" w:rsidP="00501062">
      <w:pPr>
        <w:pStyle w:val="Bullets1"/>
        <w:ind w:left="284" w:hanging="284"/>
      </w:pPr>
      <w:r w:rsidRPr="00815441">
        <w:t>ensuring staffing arrangements contribute to the health, safety, wellbeing, learning and development of all children at the service</w:t>
      </w:r>
    </w:p>
    <w:p w14:paraId="68497665" w14:textId="77777777" w:rsidR="00501062" w:rsidRPr="00815441" w:rsidRDefault="00501062" w:rsidP="00501062">
      <w:pPr>
        <w:pStyle w:val="Bullets1"/>
        <w:ind w:left="284" w:hanging="284"/>
      </w:pPr>
      <w:r w:rsidRPr="00815441">
        <w:t>meeting legislative requirements for a Responsible Person to be on the service premises at all times.</w:t>
      </w:r>
    </w:p>
    <w:p w14:paraId="654FF7E6" w14:textId="77777777" w:rsidR="00501062" w:rsidRPr="00815441" w:rsidRDefault="00501062" w:rsidP="00501062">
      <w:pPr>
        <w:pStyle w:val="Heading2"/>
      </w:pPr>
      <w:r w:rsidRPr="00815441">
        <w:t xml:space="preserve">Scope </w:t>
      </w:r>
    </w:p>
    <w:p w14:paraId="47E63262" w14:textId="77777777" w:rsidR="00501062" w:rsidRPr="00815441" w:rsidRDefault="00501062" w:rsidP="00501062">
      <w:pPr>
        <w:pStyle w:val="BodyText"/>
      </w:pPr>
      <w:r w:rsidRPr="00815441">
        <w:t xml:space="preserve">This policy applies to the Approved Provider, Nominated Supervisor, Certified Supervisor, educators, staff, students on placement, volunteers and parents/guardians of </w:t>
      </w:r>
      <w:fldSimple w:instr=" DOCPROPERTY  Company  \* MERGEFORMAT ">
        <w:r w:rsidR="00993F02">
          <w:t xml:space="preserve">Box Hill North Primary School Kindergarten </w:t>
        </w:r>
      </w:fldSimple>
      <w:r w:rsidRPr="00815441">
        <w:t>.</w:t>
      </w:r>
    </w:p>
    <w:p w14:paraId="6527AECB" w14:textId="77777777" w:rsidR="00501062" w:rsidRPr="00815441" w:rsidRDefault="00501062" w:rsidP="00501062">
      <w:pPr>
        <w:pStyle w:val="Heading2"/>
      </w:pPr>
      <w:r w:rsidRPr="00815441">
        <w:t>Background and legislation</w:t>
      </w:r>
    </w:p>
    <w:p w14:paraId="3E698FBE" w14:textId="77777777" w:rsidR="00501062" w:rsidRPr="00815441" w:rsidRDefault="00501062" w:rsidP="00501062">
      <w:pPr>
        <w:pStyle w:val="Heading4"/>
      </w:pPr>
      <w:r w:rsidRPr="00815441">
        <w:t>Background</w:t>
      </w:r>
    </w:p>
    <w:p w14:paraId="72BC385F" w14:textId="77777777" w:rsidR="00501062" w:rsidRPr="00815441" w:rsidRDefault="00501062" w:rsidP="00501062">
      <w:pPr>
        <w:pStyle w:val="BodyText"/>
      </w:pPr>
      <w:r w:rsidRPr="00815441">
        <w:t xml:space="preserve">Under the </w:t>
      </w:r>
      <w:r w:rsidRPr="002154F6">
        <w:rPr>
          <w:i/>
        </w:rPr>
        <w:t>Education and Care Services National Law</w:t>
      </w:r>
      <w:r>
        <w:rPr>
          <w:i/>
        </w:rPr>
        <w:t xml:space="preserve"> Act</w:t>
      </w:r>
      <w:r w:rsidRPr="002154F6">
        <w:rPr>
          <w:i/>
        </w:rPr>
        <w:t xml:space="preserve"> 2010</w:t>
      </w:r>
      <w:r w:rsidRPr="00815441">
        <w:t>, it is an offence to operate an approved centre-based education and care service unless a Responsible Person is present.</w:t>
      </w:r>
    </w:p>
    <w:p w14:paraId="39CB983D" w14:textId="77777777" w:rsidR="00B92D3D" w:rsidRDefault="00501062" w:rsidP="00501062">
      <w:pPr>
        <w:pStyle w:val="BodyText"/>
      </w:pPr>
      <w:r w:rsidRPr="00815441">
        <w:t xml:space="preserve">Legislation requires that </w:t>
      </w:r>
      <w:r w:rsidR="006D3995">
        <w:t>c</w:t>
      </w:r>
      <w:r w:rsidR="00B92D3D">
        <w:t xml:space="preserve">entre-based services have </w:t>
      </w:r>
      <w:r w:rsidRPr="00815441">
        <w:t xml:space="preserve">a Responsible Person physically in attendance at all times the service is educating and caring for children. The Responsible Person is </w:t>
      </w:r>
      <w:r w:rsidR="00B92D3D">
        <w:t xml:space="preserve">the person in day to day charge at the service and can be </w:t>
      </w:r>
      <w:r w:rsidRPr="00815441">
        <w:t>either</w:t>
      </w:r>
      <w:r w:rsidR="00B92D3D">
        <w:t>:</w:t>
      </w:r>
    </w:p>
    <w:p w14:paraId="529C1C39" w14:textId="77777777" w:rsidR="00B92D3D" w:rsidRDefault="00501062" w:rsidP="001C2FBD">
      <w:pPr>
        <w:pStyle w:val="BodyText"/>
        <w:numPr>
          <w:ilvl w:val="0"/>
          <w:numId w:val="4"/>
        </w:numPr>
      </w:pPr>
      <w:r w:rsidRPr="00815441">
        <w:t>the Approved Provider (or the person in managem</w:t>
      </w:r>
      <w:r w:rsidR="00AE3C5F">
        <w:t>ent or control of the service),</w:t>
      </w:r>
    </w:p>
    <w:p w14:paraId="49F39C29" w14:textId="77777777" w:rsidR="00B92D3D" w:rsidRDefault="00501062" w:rsidP="001C2FBD">
      <w:pPr>
        <w:pStyle w:val="BodyText"/>
        <w:numPr>
          <w:ilvl w:val="0"/>
          <w:numId w:val="4"/>
        </w:numPr>
      </w:pPr>
      <w:r w:rsidRPr="00815441">
        <w:t xml:space="preserve">the Nominated Supervisor of the service, or </w:t>
      </w:r>
    </w:p>
    <w:p w14:paraId="21BAA87D" w14:textId="77777777" w:rsidR="00B92D3D" w:rsidRDefault="00501062" w:rsidP="001C2FBD">
      <w:pPr>
        <w:pStyle w:val="BodyText"/>
        <w:numPr>
          <w:ilvl w:val="0"/>
          <w:numId w:val="4"/>
        </w:numPr>
      </w:pPr>
      <w:r w:rsidRPr="00815441">
        <w:t>a Certified Supervisor who has been placed in da</w:t>
      </w:r>
      <w:r w:rsidR="00AE3C5F">
        <w:t>y-to-day charge of the service.</w:t>
      </w:r>
    </w:p>
    <w:p w14:paraId="10DE83DA" w14:textId="77777777" w:rsidR="00501062" w:rsidRPr="00815441" w:rsidRDefault="00501062" w:rsidP="00B92D3D">
      <w:pPr>
        <w:pStyle w:val="BodyText"/>
      </w:pPr>
      <w:r w:rsidRPr="00815441">
        <w:t xml:space="preserve">For more information regarding these terms, refer to </w:t>
      </w:r>
      <w:r w:rsidRPr="002154F6">
        <w:rPr>
          <w:i/>
        </w:rPr>
        <w:t>Definitions</w:t>
      </w:r>
      <w:r w:rsidRPr="00815441">
        <w:t>.</w:t>
      </w:r>
    </w:p>
    <w:p w14:paraId="4374FDC3" w14:textId="77777777" w:rsidR="007A713A" w:rsidRDefault="00501062" w:rsidP="00501062">
      <w:pPr>
        <w:pStyle w:val="BodyText"/>
      </w:pPr>
      <w:r w:rsidRPr="00815441">
        <w:t>An Approved Provider must not operate a service unless there is a Nominated Supervisor appointed for that service. The Nominated Supervisor does not have to be in attendance at the service at all times, but in their absence, a Certified Supervisor is to be placed in charge, ensuring there is always someone on the service premises who has been assessed as fit and proper</w:t>
      </w:r>
      <w:r w:rsidR="00AE3C5F">
        <w:t>.</w:t>
      </w:r>
    </w:p>
    <w:p w14:paraId="7A380B30" w14:textId="77777777" w:rsidR="0044519C" w:rsidRDefault="007A713A" w:rsidP="00501062">
      <w:pPr>
        <w:pStyle w:val="BodyText"/>
      </w:pPr>
      <w:r>
        <w:t xml:space="preserve">Regulatory Authorities will issue a service supervisor certificate </w:t>
      </w:r>
      <w:r w:rsidR="0061506B">
        <w:t xml:space="preserve">(refer to </w:t>
      </w:r>
      <w:r w:rsidR="0061506B" w:rsidRPr="0061506B">
        <w:rPr>
          <w:i/>
        </w:rPr>
        <w:t>Definitions</w:t>
      </w:r>
      <w:r w:rsidR="0061506B">
        <w:t xml:space="preserve">) </w:t>
      </w:r>
      <w:r w:rsidRPr="0061506B">
        <w:t>for</w:t>
      </w:r>
      <w:r>
        <w:t xml:space="preserve"> each approved education and care service</w:t>
      </w:r>
      <w:r w:rsidR="008D2562">
        <w:t xml:space="preserve"> and t</w:t>
      </w:r>
      <w:r>
        <w:t xml:space="preserve">he </w:t>
      </w:r>
      <w:r w:rsidR="00B92D3D">
        <w:t xml:space="preserve">service can decide who will be </w:t>
      </w:r>
      <w:r w:rsidR="00783360">
        <w:t xml:space="preserve">the </w:t>
      </w:r>
      <w:r w:rsidR="00B92D3D">
        <w:t>Certified Supervisor</w:t>
      </w:r>
      <w:r w:rsidR="00EF7AA9">
        <w:t>/</w:t>
      </w:r>
      <w:r w:rsidR="00B92D3D">
        <w:t xml:space="preserve">s at the service. </w:t>
      </w:r>
      <w:r w:rsidR="0044519C">
        <w:t>To be covered by the service supervisor certificate a person needs to be:</w:t>
      </w:r>
    </w:p>
    <w:p w14:paraId="5312191D" w14:textId="77777777" w:rsidR="0044519C" w:rsidRDefault="0044519C" w:rsidP="001C2FBD">
      <w:pPr>
        <w:pStyle w:val="BodyText"/>
        <w:numPr>
          <w:ilvl w:val="0"/>
          <w:numId w:val="5"/>
        </w:numPr>
      </w:pPr>
      <w:r>
        <w:t>responsible for the day-to-day management of the service; or</w:t>
      </w:r>
    </w:p>
    <w:p w14:paraId="785A3DEE" w14:textId="77777777" w:rsidR="0044519C" w:rsidRDefault="0044519C" w:rsidP="001C2FBD">
      <w:pPr>
        <w:pStyle w:val="BodyText"/>
        <w:numPr>
          <w:ilvl w:val="0"/>
          <w:numId w:val="5"/>
        </w:numPr>
      </w:pPr>
      <w:r>
        <w:t>exercising supervisory and leadership responsibilities for part of the service.</w:t>
      </w:r>
    </w:p>
    <w:p w14:paraId="3906CFD8" w14:textId="77777777" w:rsidR="00501062" w:rsidRDefault="00945A57" w:rsidP="00501062">
      <w:pPr>
        <w:pStyle w:val="BodyText"/>
      </w:pPr>
      <w:r>
        <w:lastRenderedPageBreak/>
        <w:t>People who hold an i</w:t>
      </w:r>
      <w:r w:rsidR="00670063">
        <w:t xml:space="preserve">ndividual </w:t>
      </w:r>
      <w:r w:rsidR="00CD1FF4">
        <w:t>s</w:t>
      </w:r>
      <w:r w:rsidR="00670063">
        <w:t>upervisor certifi</w:t>
      </w:r>
      <w:r w:rsidR="006D3995">
        <w:t>cate can also be placed in day-to-day charge</w:t>
      </w:r>
      <w:r>
        <w:t xml:space="preserve"> of the service</w:t>
      </w:r>
      <w:r w:rsidR="006D3995">
        <w:t xml:space="preserve">. </w:t>
      </w:r>
      <w:r w:rsidR="00501062" w:rsidRPr="00815441">
        <w:t xml:space="preserve">It is important to note that a Certified Supervisor </w:t>
      </w:r>
      <w:r w:rsidR="00501062" w:rsidRPr="002154F6">
        <w:rPr>
          <w:b/>
        </w:rPr>
        <w:t>does not</w:t>
      </w:r>
      <w:r w:rsidR="00501062" w:rsidRPr="00815441">
        <w:t xml:space="preserve"> have the same responsibilities under the National L</w:t>
      </w:r>
      <w:r w:rsidR="00501062">
        <w:t>aw as the Nominated Supervisor.</w:t>
      </w:r>
    </w:p>
    <w:p w14:paraId="55605906" w14:textId="77777777" w:rsidR="00361310" w:rsidRPr="00815441" w:rsidRDefault="00361310" w:rsidP="00501062">
      <w:pPr>
        <w:pStyle w:val="BodyText"/>
      </w:pPr>
      <w:r>
        <w:t>The staff record must include the name of the responsible person at the centre-based service for each time that children are being educated and cared for by the service (Regulation 150).</w:t>
      </w:r>
    </w:p>
    <w:p w14:paraId="6C4426ED" w14:textId="77777777" w:rsidR="00501062" w:rsidRPr="00815441" w:rsidRDefault="00501062" w:rsidP="00501062">
      <w:pPr>
        <w:pStyle w:val="Heading4"/>
        <w:spacing w:before="170"/>
      </w:pPr>
      <w:r w:rsidRPr="00815441">
        <w:t>Legislation and standards</w:t>
      </w:r>
    </w:p>
    <w:p w14:paraId="0D963395" w14:textId="77777777" w:rsidR="00501062" w:rsidRPr="00815441" w:rsidRDefault="00501062" w:rsidP="00501062">
      <w:pPr>
        <w:pStyle w:val="BodyText3ptAfter"/>
      </w:pPr>
      <w:r w:rsidRPr="00815441">
        <w:t>Relevant legislation and standards include but are not limited to:</w:t>
      </w:r>
    </w:p>
    <w:p w14:paraId="56459ABE" w14:textId="77777777" w:rsidR="00501062" w:rsidRPr="00815441" w:rsidRDefault="00501062" w:rsidP="00501062">
      <w:pPr>
        <w:pStyle w:val="Bullets1"/>
        <w:ind w:left="284" w:hanging="284"/>
      </w:pPr>
      <w:r w:rsidRPr="002154F6">
        <w:rPr>
          <w:i/>
        </w:rPr>
        <w:t>Education and Care Services National Law Act 2010</w:t>
      </w:r>
      <w:r w:rsidRPr="00815441">
        <w:t xml:space="preserve">: Sections 5, 44, 56, 106–109, 114, 115, 118, 161, 162, </w:t>
      </w:r>
      <w:r w:rsidR="00F8539E">
        <w:t xml:space="preserve">164, </w:t>
      </w:r>
      <w:r w:rsidRPr="00815441">
        <w:t>172, 291(5)</w:t>
      </w:r>
    </w:p>
    <w:p w14:paraId="474E4D08" w14:textId="77777777" w:rsidR="00501062" w:rsidRPr="00815441" w:rsidRDefault="00501062" w:rsidP="00501062">
      <w:pPr>
        <w:pStyle w:val="Bullets1"/>
        <w:ind w:left="284" w:hanging="284"/>
      </w:pPr>
      <w:r w:rsidRPr="002154F6">
        <w:rPr>
          <w:i/>
        </w:rPr>
        <w:t>Education and Care Services National Regulations 2011</w:t>
      </w:r>
      <w:r w:rsidRPr="00815441">
        <w:t>: Regulations 35, 46–</w:t>
      </w:r>
      <w:r w:rsidR="001026C3">
        <w:t>50</w:t>
      </w:r>
      <w:r w:rsidRPr="00815441">
        <w:t xml:space="preserve">, 146, </w:t>
      </w:r>
      <w:r w:rsidR="00361310">
        <w:t>150,</w:t>
      </w:r>
      <w:r w:rsidRPr="00815441">
        <w:t>168(2)(</w:t>
      </w:r>
      <w:proofErr w:type="spellStart"/>
      <w:r w:rsidRPr="00815441">
        <w:t>i</w:t>
      </w:r>
      <w:proofErr w:type="spellEnd"/>
      <w:r w:rsidRPr="00815441">
        <w:t>)(ii), 173, 176(2)(c)</w:t>
      </w:r>
    </w:p>
    <w:p w14:paraId="21EDF5DD" w14:textId="77777777" w:rsidR="00501062" w:rsidRPr="00815441" w:rsidRDefault="00501062" w:rsidP="00501062">
      <w:pPr>
        <w:pStyle w:val="Bullets1"/>
        <w:ind w:left="284" w:hanging="284"/>
      </w:pPr>
      <w:r w:rsidRPr="002154F6">
        <w:rPr>
          <w:i/>
        </w:rPr>
        <w:t>National Quality Standard</w:t>
      </w:r>
      <w:r w:rsidRPr="00815441">
        <w:t>, Quality Area 4: Staffing Arrangements</w:t>
      </w:r>
    </w:p>
    <w:p w14:paraId="40FDDD7A" w14:textId="77777777" w:rsidR="00501062" w:rsidRPr="00815441" w:rsidRDefault="00501062" w:rsidP="00501062">
      <w:pPr>
        <w:pStyle w:val="Bullets2"/>
        <w:ind w:left="567" w:hanging="283"/>
      </w:pPr>
      <w:r w:rsidRPr="00815441">
        <w:t>Standard 4.1: Staffing arrangements enhance children’s learning and development and ensure their safety and wellbeing</w:t>
      </w:r>
    </w:p>
    <w:p w14:paraId="66266204" w14:textId="77777777" w:rsidR="00501062" w:rsidRPr="00815441" w:rsidRDefault="00501062" w:rsidP="00501062">
      <w:pPr>
        <w:pStyle w:val="Bullets1"/>
        <w:keepNext/>
        <w:ind w:left="284" w:hanging="284"/>
      </w:pPr>
      <w:r w:rsidRPr="002154F6">
        <w:rPr>
          <w:i/>
        </w:rPr>
        <w:t>National Quality Standard</w:t>
      </w:r>
      <w:r w:rsidRPr="00815441">
        <w:t>, Quality Area 7: Leadership and Service Management</w:t>
      </w:r>
    </w:p>
    <w:p w14:paraId="698B2558" w14:textId="77777777" w:rsidR="00501062" w:rsidRDefault="00501062" w:rsidP="00501062">
      <w:pPr>
        <w:pStyle w:val="Bullets2"/>
        <w:ind w:left="567" w:hanging="283"/>
      </w:pPr>
      <w:r>
        <w:t>Standard 7.1:</w:t>
      </w:r>
      <w:r w:rsidRPr="00576AF3">
        <w:t xml:space="preserve"> </w:t>
      </w:r>
      <w:r w:rsidRPr="00C008CA">
        <w:rPr>
          <w:lang w:val="en-US"/>
        </w:rPr>
        <w:t xml:space="preserve">Effective leadership promotes a positive </w:t>
      </w:r>
      <w:proofErr w:type="spellStart"/>
      <w:r w:rsidRPr="00C008CA">
        <w:rPr>
          <w:lang w:val="en-US"/>
        </w:rPr>
        <w:t>organisational</w:t>
      </w:r>
      <w:proofErr w:type="spellEnd"/>
      <w:r w:rsidRPr="00C008CA">
        <w:rPr>
          <w:lang w:val="en-US"/>
        </w:rPr>
        <w:t xml:space="preserve"> culture and builds a professional learning community</w:t>
      </w:r>
    </w:p>
    <w:p w14:paraId="1A247E68" w14:textId="77777777" w:rsidR="00501062" w:rsidRDefault="00501062" w:rsidP="00501062">
      <w:pPr>
        <w:pStyle w:val="Bullets3"/>
        <w:ind w:left="851" w:hanging="284"/>
      </w:pPr>
      <w:r>
        <w:t xml:space="preserve">Element 7.1.5: </w:t>
      </w:r>
      <w:r w:rsidRPr="00C008CA">
        <w:rPr>
          <w:lang w:val="en-US"/>
        </w:rPr>
        <w:t>Adults working with children and those engaged in management of the service or residing on the premises are fit and proper</w:t>
      </w:r>
    </w:p>
    <w:p w14:paraId="051222AB" w14:textId="77777777" w:rsidR="00501062" w:rsidRPr="00031EF2" w:rsidRDefault="00501062" w:rsidP="00501062">
      <w:pPr>
        <w:pStyle w:val="Bullets1"/>
        <w:ind w:left="284" w:hanging="284"/>
        <w:rPr>
          <w:iCs/>
        </w:rPr>
      </w:pPr>
      <w:r w:rsidRPr="002154F6">
        <w:rPr>
          <w:i/>
        </w:rPr>
        <w:t>Working with Children Act 2005</w:t>
      </w:r>
      <w:r>
        <w:t xml:space="preserve"> (Vic)</w:t>
      </w:r>
    </w:p>
    <w:p w14:paraId="23C8A728" w14:textId="3A9938A6" w:rsidR="00501062" w:rsidRDefault="00993F02" w:rsidP="00501062">
      <w:pPr>
        <w:pStyle w:val="Bullets1"/>
        <w:ind w:left="284" w:hanging="284"/>
      </w:pPr>
      <w:r>
        <w:rPr>
          <w:noProof/>
        </w:rPr>
        <mc:AlternateContent>
          <mc:Choice Requires="wps">
            <w:drawing>
              <wp:anchor distT="0" distB="0" distL="114300" distR="114300" simplePos="0" relativeHeight="251657728" behindDoc="0" locked="0" layoutInCell="1" allowOverlap="1" wp14:anchorId="1A7A663F" wp14:editId="67FB9BE9">
                <wp:simplePos x="0" y="0"/>
                <wp:positionH relativeFrom="column">
                  <wp:posOffset>-635</wp:posOffset>
                </wp:positionH>
                <wp:positionV relativeFrom="paragraph">
                  <wp:posOffset>247015</wp:posOffset>
                </wp:positionV>
                <wp:extent cx="5753100" cy="5949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594995"/>
                        </a:xfrm>
                        <a:prstGeom prst="rect">
                          <a:avLst/>
                        </a:prstGeom>
                        <a:solidFill>
                          <a:srgbClr val="DDDDDD"/>
                        </a:solidFill>
                        <a:ln w="6350">
                          <a:noFill/>
                        </a:ln>
                        <a:effectLst/>
                      </wps:spPr>
                      <wps:txbx>
                        <w:txbxContent>
                          <w:p w14:paraId="6AF70FF7" w14:textId="77777777" w:rsidR="00501062" w:rsidRPr="00330B3A" w:rsidRDefault="00501062" w:rsidP="00501062">
                            <w:pPr>
                              <w:spacing w:after="60"/>
                              <w:rPr>
                                <w:rFonts w:cs="Arial"/>
                                <w:iCs/>
                              </w:rPr>
                            </w:pPr>
                            <w:r w:rsidRPr="00330B3A">
                              <w:rPr>
                                <w:rFonts w:cs="Arial"/>
                                <w:iCs/>
                              </w:rPr>
                              <w:t>The most current amendments to listed legislation can be found at:</w:t>
                            </w:r>
                          </w:p>
                          <w:p w14:paraId="232C66D3" w14:textId="77777777" w:rsidR="00501062" w:rsidRPr="00330B3A" w:rsidRDefault="00501062" w:rsidP="00501062">
                            <w:pPr>
                              <w:pStyle w:val="ListParagraph"/>
                              <w:numPr>
                                <w:ilvl w:val="0"/>
                                <w:numId w:val="3"/>
                              </w:numPr>
                              <w:spacing w:after="0" w:line="240" w:lineRule="auto"/>
                              <w:ind w:left="714" w:hanging="357"/>
                              <w:rPr>
                                <w:rFonts w:ascii="Arial" w:eastAsia="Arial" w:hAnsi="Arial" w:cs="Arial"/>
                                <w:sz w:val="19"/>
                                <w:szCs w:val="19"/>
                              </w:rPr>
                            </w:pPr>
                            <w:r w:rsidRPr="00330B3A">
                              <w:rPr>
                                <w:rFonts w:ascii="Arial" w:hAnsi="Arial" w:cs="Arial"/>
                                <w:sz w:val="19"/>
                                <w:szCs w:val="19"/>
                              </w:rPr>
                              <w:t xml:space="preserve">Victorian Legislation – Victorian Law Today: </w:t>
                            </w:r>
                            <w:hyperlink r:id="rId8" w:history="1">
                              <w:r w:rsidRPr="00330B3A">
                                <w:rPr>
                                  <w:rStyle w:val="Hyperlink"/>
                                  <w:rFonts w:ascii="Arial" w:hAnsi="Arial"/>
                                  <w:sz w:val="19"/>
                                  <w:szCs w:val="19"/>
                                </w:rPr>
                                <w:t>http://www.legislation.vic.gov.au/</w:t>
                              </w:r>
                            </w:hyperlink>
                          </w:p>
                          <w:p w14:paraId="79717C4C" w14:textId="77777777" w:rsidR="00501062" w:rsidRPr="004B607D" w:rsidRDefault="00501062" w:rsidP="00501062">
                            <w:pPr>
                              <w:pStyle w:val="ListParagraph"/>
                              <w:numPr>
                                <w:ilvl w:val="0"/>
                                <w:numId w:val="3"/>
                              </w:numPr>
                              <w:spacing w:after="0" w:line="240" w:lineRule="auto"/>
                              <w:ind w:left="714" w:hanging="357"/>
                              <w:rPr>
                                <w:rFonts w:ascii="Arial" w:eastAsia="Arial" w:hAnsi="Arial" w:cs="Arial"/>
                                <w:sz w:val="19"/>
                                <w:szCs w:val="19"/>
                              </w:rPr>
                            </w:pPr>
                            <w:r w:rsidRPr="004B607D">
                              <w:rPr>
                                <w:rFonts w:ascii="Arial" w:hAnsi="Arial" w:cs="Arial"/>
                                <w:sz w:val="19"/>
                                <w:szCs w:val="19"/>
                              </w:rPr>
                              <w:t xml:space="preserve">Commonwealth Legislation – </w:t>
                            </w:r>
                            <w:proofErr w:type="spellStart"/>
                            <w:r w:rsidRPr="004B607D">
                              <w:rPr>
                                <w:rFonts w:ascii="Arial" w:hAnsi="Arial" w:cs="Arial"/>
                                <w:sz w:val="19"/>
                                <w:szCs w:val="19"/>
                              </w:rPr>
                              <w:t>ComLaw</w:t>
                            </w:r>
                            <w:proofErr w:type="spellEnd"/>
                            <w:r w:rsidRPr="004B607D">
                              <w:rPr>
                                <w:rFonts w:ascii="Arial" w:hAnsi="Arial" w:cs="Arial"/>
                                <w:sz w:val="19"/>
                                <w:szCs w:val="19"/>
                              </w:rPr>
                              <w:t xml:space="preserve">: </w:t>
                            </w:r>
                            <w:hyperlink r:id="rId9" w:history="1">
                              <w:r w:rsidRPr="004B607D">
                                <w:rPr>
                                  <w:rStyle w:val="Hyperlink"/>
                                  <w:rFonts w:ascii="Arial" w:hAnsi="Arial" w:cs="Arial"/>
                                  <w:sz w:val="19"/>
                                  <w:szCs w:val="19"/>
                                </w:rPr>
                                <w:t>http://www.comlaw.gov.au/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A663F" id="_x0000_t202" coordsize="21600,21600" o:spt="202" path="m,l,21600r21600,l21600,xe">
                <v:stroke joinstyle="miter"/>
                <v:path gradientshapeok="t" o:connecttype="rect"/>
              </v:shapetype>
              <v:shape id="Text Box 1" o:spid="_x0000_s1026" type="#_x0000_t202" style="position:absolute;left:0;text-align:left;margin-left:-.05pt;margin-top:19.45pt;width:453pt;height:4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" fillcolor="#ddd" stroked="f" strokeweight=".5pt">
                <v:path arrowok="t"/>
                <v:textbox>
                  <w:txbxContent>
                    <w:p w14:paraId="6AF70FF7" w14:textId="77777777" w:rsidR="00501062" w:rsidRPr="00330B3A" w:rsidRDefault="00501062" w:rsidP="00501062">
                      <w:pPr>
                        <w:spacing w:after="60"/>
                        <w:rPr>
                          <w:rFonts w:cs="Arial"/>
                          <w:iCs/>
                        </w:rPr>
                      </w:pPr>
                      <w:r w:rsidRPr="00330B3A">
                        <w:rPr>
                          <w:rFonts w:cs="Arial"/>
                          <w:iCs/>
                        </w:rPr>
                        <w:t>The most current amendments to listed legislation can be found at:</w:t>
                      </w:r>
                    </w:p>
                    <w:p w14:paraId="232C66D3" w14:textId="77777777" w:rsidR="00501062" w:rsidRPr="00330B3A" w:rsidRDefault="00501062" w:rsidP="00501062">
                      <w:pPr>
                        <w:pStyle w:val="ListParagraph"/>
                        <w:numPr>
                          <w:ilvl w:val="0"/>
                          <w:numId w:val="3"/>
                        </w:numPr>
                        <w:spacing w:after="0" w:line="240" w:lineRule="auto"/>
                        <w:ind w:left="714" w:hanging="357"/>
                        <w:rPr>
                          <w:rFonts w:ascii="Arial" w:eastAsia="Arial" w:hAnsi="Arial" w:cs="Arial"/>
                          <w:sz w:val="19"/>
                          <w:szCs w:val="19"/>
                        </w:rPr>
                      </w:pPr>
                      <w:r w:rsidRPr="00330B3A">
                        <w:rPr>
                          <w:rFonts w:ascii="Arial" w:hAnsi="Arial" w:cs="Arial"/>
                          <w:sz w:val="19"/>
                          <w:szCs w:val="19"/>
                        </w:rPr>
                        <w:t xml:space="preserve">Victorian Legislation – Victorian Law Today: </w:t>
                      </w:r>
                      <w:hyperlink r:id="rId10" w:history="1">
                        <w:r w:rsidRPr="00330B3A">
                          <w:rPr>
                            <w:rStyle w:val="Hyperlink"/>
                            <w:rFonts w:ascii="Arial" w:hAnsi="Arial"/>
                            <w:sz w:val="19"/>
                            <w:szCs w:val="19"/>
                          </w:rPr>
                          <w:t>http://www.legislation.vic.gov.au/</w:t>
                        </w:r>
                      </w:hyperlink>
                    </w:p>
                    <w:p w14:paraId="79717C4C" w14:textId="77777777" w:rsidR="00501062" w:rsidRPr="004B607D" w:rsidRDefault="00501062" w:rsidP="00501062">
                      <w:pPr>
                        <w:pStyle w:val="ListParagraph"/>
                        <w:numPr>
                          <w:ilvl w:val="0"/>
                          <w:numId w:val="3"/>
                        </w:numPr>
                        <w:spacing w:after="0" w:line="240" w:lineRule="auto"/>
                        <w:ind w:left="714" w:hanging="357"/>
                        <w:rPr>
                          <w:rFonts w:ascii="Arial" w:eastAsia="Arial" w:hAnsi="Arial" w:cs="Arial"/>
                          <w:sz w:val="19"/>
                          <w:szCs w:val="19"/>
                        </w:rPr>
                      </w:pPr>
                      <w:r w:rsidRPr="004B607D">
                        <w:rPr>
                          <w:rFonts w:ascii="Arial" w:hAnsi="Arial" w:cs="Arial"/>
                          <w:sz w:val="19"/>
                          <w:szCs w:val="19"/>
                        </w:rPr>
                        <w:t xml:space="preserve">Commonwealth Legislation – ComLaw: </w:t>
                      </w:r>
                      <w:hyperlink r:id="rId11" w:history="1">
                        <w:r w:rsidRPr="004B607D">
                          <w:rPr>
                            <w:rStyle w:val="Hyperlink"/>
                            <w:rFonts w:ascii="Arial" w:hAnsi="Arial" w:cs="Arial"/>
                            <w:sz w:val="19"/>
                            <w:szCs w:val="19"/>
                          </w:rPr>
                          <w:t>http://www.comlaw.gov.au/</w:t>
                        </w:r>
                      </w:hyperlink>
                    </w:p>
                  </w:txbxContent>
                </v:textbox>
                <w10:wrap type="square"/>
              </v:shape>
            </w:pict>
          </mc:Fallback>
        </mc:AlternateContent>
      </w:r>
      <w:r w:rsidR="00501062" w:rsidRPr="002154F6">
        <w:rPr>
          <w:i/>
        </w:rPr>
        <w:t>W</w:t>
      </w:r>
      <w:r w:rsidR="00501062">
        <w:rPr>
          <w:i/>
        </w:rPr>
        <w:t xml:space="preserve">orking with Children Regulations </w:t>
      </w:r>
      <w:r w:rsidR="00501062" w:rsidRPr="002154F6">
        <w:rPr>
          <w:i/>
        </w:rPr>
        <w:t>2006</w:t>
      </w:r>
      <w:r w:rsidR="00501062" w:rsidRPr="00B31EE6">
        <w:t xml:space="preserve"> (Vic)</w:t>
      </w:r>
    </w:p>
    <w:p w14:paraId="63C16360" w14:textId="77777777" w:rsidR="00501062" w:rsidRPr="00815441" w:rsidRDefault="00501062" w:rsidP="00501062">
      <w:pPr>
        <w:pStyle w:val="Heading2"/>
        <w:spacing w:before="120" w:after="0"/>
      </w:pPr>
      <w:r w:rsidRPr="00815441">
        <w:t>Definitions</w:t>
      </w:r>
    </w:p>
    <w:p w14:paraId="0D0E3C69" w14:textId="77777777" w:rsidR="00501062" w:rsidRDefault="00501062" w:rsidP="009A3C84">
      <w:pPr>
        <w:pStyle w:val="BodyText"/>
        <w:spacing w:before="0" w:after="0" w:line="240" w:lineRule="auto"/>
      </w:pPr>
      <w:r w:rsidRPr="00815441">
        <w:t xml:space="preserve">The terms defined in this section relate specifically to this policy. For commonly used terms e.g. National Law, National Regulations, Regulatory Authority etc. refer to the </w:t>
      </w:r>
      <w:r w:rsidRPr="00A12B9A">
        <w:rPr>
          <w:i/>
        </w:rPr>
        <w:t>General Definitions</w:t>
      </w:r>
      <w:r w:rsidRPr="00815441">
        <w:t xml:space="preserve"> section of this manual.</w:t>
      </w:r>
    </w:p>
    <w:p w14:paraId="76303626" w14:textId="77777777" w:rsidR="009A3C84" w:rsidRPr="00815441" w:rsidRDefault="009A3C84" w:rsidP="009A3C84">
      <w:pPr>
        <w:pStyle w:val="BodyText"/>
        <w:spacing w:before="0" w:after="0" w:line="240" w:lineRule="auto"/>
      </w:pPr>
    </w:p>
    <w:p w14:paraId="329A3DE0" w14:textId="77777777" w:rsidR="00501062" w:rsidRPr="00B43248" w:rsidRDefault="00501062" w:rsidP="009A3C84">
      <w:pPr>
        <w:pStyle w:val="Pa3"/>
        <w:spacing w:after="140" w:line="240" w:lineRule="auto"/>
        <w:rPr>
          <w:color w:val="000000"/>
          <w:sz w:val="20"/>
          <w:szCs w:val="20"/>
        </w:rPr>
      </w:pPr>
      <w:r w:rsidRPr="00B43248">
        <w:rPr>
          <w:b/>
          <w:sz w:val="20"/>
          <w:szCs w:val="20"/>
        </w:rPr>
        <w:t>Approved Provider:</w:t>
      </w:r>
      <w:r w:rsidRPr="00B43248">
        <w:rPr>
          <w:sz w:val="20"/>
          <w:szCs w:val="20"/>
        </w:rPr>
        <w:t xml:space="preserve"> An individual or organisation that has completed an application and been approved by the Regulatory Authority as fit and proper (in accordance with Sections 12, 13 and 14 of the National Law) to operate one or more education and care services. </w:t>
      </w:r>
      <w:r w:rsidRPr="00B43248">
        <w:rPr>
          <w:color w:val="000000"/>
          <w:sz w:val="20"/>
          <w:szCs w:val="20"/>
        </w:rPr>
        <w:t xml:space="preserve">Where the applicant is an organisation, each person with management and control of that organisation must complete a separate application form. (Note: Under the </w:t>
      </w:r>
      <w:r w:rsidRPr="00B43248">
        <w:rPr>
          <w:i/>
          <w:iCs/>
          <w:color w:val="000000"/>
          <w:sz w:val="20"/>
          <w:szCs w:val="20"/>
        </w:rPr>
        <w:t>Education and Care Services National Law Act 2010</w:t>
      </w:r>
      <w:r w:rsidRPr="00B43248">
        <w:rPr>
          <w:color w:val="000000"/>
          <w:sz w:val="20"/>
          <w:szCs w:val="20"/>
        </w:rPr>
        <w:t>, Section 5, Definitions: “</w:t>
      </w:r>
      <w:r w:rsidRPr="00B43248">
        <w:rPr>
          <w:b/>
          <w:bCs/>
          <w:i/>
          <w:iCs/>
          <w:color w:val="000000"/>
          <w:sz w:val="20"/>
          <w:szCs w:val="20"/>
        </w:rPr>
        <w:t>person with management or control</w:t>
      </w:r>
      <w:r w:rsidRPr="00B43248">
        <w:rPr>
          <w:i/>
          <w:iCs/>
          <w:color w:val="000000"/>
          <w:sz w:val="20"/>
          <w:szCs w:val="20"/>
        </w:rPr>
        <w:t>, in relation to an education and care service, means – (b) if the provider of the service is an eligible association, each member of the executive committee of the association who has the responsibility, alone or with others, for managing the delivery of the education and care service</w:t>
      </w:r>
      <w:r>
        <w:rPr>
          <w:color w:val="000000"/>
          <w:sz w:val="20"/>
          <w:szCs w:val="20"/>
        </w:rPr>
        <w:t>”.)</w:t>
      </w:r>
    </w:p>
    <w:p w14:paraId="62448DC5" w14:textId="77777777" w:rsidR="00501062" w:rsidRPr="00815441" w:rsidRDefault="00501062" w:rsidP="00501062">
      <w:pPr>
        <w:pStyle w:val="BodyText"/>
      </w:pPr>
      <w:r w:rsidRPr="00A12B9A">
        <w:rPr>
          <w:b/>
        </w:rPr>
        <w:t xml:space="preserve">Approved </w:t>
      </w:r>
      <w:r>
        <w:rPr>
          <w:b/>
        </w:rPr>
        <w:t>s</w:t>
      </w:r>
      <w:r w:rsidRPr="00A12B9A">
        <w:rPr>
          <w:b/>
        </w:rPr>
        <w:t>ervice:</w:t>
      </w:r>
      <w:r w:rsidRPr="00815441">
        <w:t xml:space="preserve"> An education and care service for which a service approval exists. A request for service approval must be made in writing to the Regulatory Authority and include prescribed information including details of the Nominated Supervisor and their written consent to be nominated as such.</w:t>
      </w:r>
    </w:p>
    <w:p w14:paraId="7AFF9EC5" w14:textId="77777777" w:rsidR="00D4313C" w:rsidRPr="001C2FBD" w:rsidRDefault="00D4313C" w:rsidP="001C2FBD">
      <w:pPr>
        <w:rPr>
          <w:rFonts w:cs="Arial"/>
          <w:sz w:val="20"/>
          <w:szCs w:val="20"/>
        </w:rPr>
      </w:pPr>
      <w:r w:rsidRPr="001C2FBD">
        <w:rPr>
          <w:rFonts w:cs="Arial"/>
          <w:b/>
          <w:sz w:val="20"/>
          <w:szCs w:val="20"/>
        </w:rPr>
        <w:t xml:space="preserve">Certified Supervisor: </w:t>
      </w:r>
      <w:r w:rsidRPr="001C2FBD">
        <w:rPr>
          <w:rFonts w:cs="Arial"/>
          <w:sz w:val="20"/>
          <w:szCs w:val="20"/>
        </w:rPr>
        <w:t xml:space="preserve">An educator who has been nominated by the Approved Provider or the Nominated Supervisor of a service (in accordance with the National Regulations), and consents in writing to being placed in day-to-day charge of the education and care service. A </w:t>
      </w:r>
      <w:r w:rsidR="00CD1FF4">
        <w:rPr>
          <w:rFonts w:cs="Arial"/>
          <w:sz w:val="20"/>
          <w:szCs w:val="20"/>
        </w:rPr>
        <w:t>C</w:t>
      </w:r>
      <w:r w:rsidRPr="001C2FBD">
        <w:rPr>
          <w:rFonts w:cs="Arial"/>
          <w:sz w:val="20"/>
          <w:szCs w:val="20"/>
        </w:rPr>
        <w:t xml:space="preserve">ertified </w:t>
      </w:r>
      <w:r w:rsidR="00CD1FF4">
        <w:rPr>
          <w:rFonts w:cs="Arial"/>
          <w:sz w:val="20"/>
          <w:szCs w:val="20"/>
        </w:rPr>
        <w:t>S</w:t>
      </w:r>
      <w:r w:rsidRPr="001C2FBD">
        <w:rPr>
          <w:rFonts w:cs="Arial"/>
          <w:sz w:val="20"/>
          <w:szCs w:val="20"/>
        </w:rPr>
        <w:t xml:space="preserve">upervisor can be any person </w:t>
      </w:r>
      <w:r w:rsidRPr="001C2FBD">
        <w:rPr>
          <w:rFonts w:eastAsia="Times New Roman" w:cs="Arial"/>
          <w:sz w:val="20"/>
          <w:szCs w:val="20"/>
        </w:rPr>
        <w:t>engaged to be responsible for the day-to-day management of the service, or with supervisory and leadership responsibilities at the service. Any person placed in day-to-day charge of the service m</w:t>
      </w:r>
      <w:r w:rsidRPr="001C2FBD">
        <w:rPr>
          <w:rFonts w:cs="Arial"/>
          <w:sz w:val="20"/>
          <w:szCs w:val="20"/>
        </w:rPr>
        <w:t xml:space="preserve">ust be assessed as a fit-and-proper person (refer to </w:t>
      </w:r>
      <w:r w:rsidRPr="001C2FBD">
        <w:rPr>
          <w:rFonts w:cs="Arial"/>
          <w:i/>
          <w:sz w:val="20"/>
          <w:szCs w:val="20"/>
        </w:rPr>
        <w:t>Definitions</w:t>
      </w:r>
      <w:r w:rsidRPr="001C2FBD">
        <w:rPr>
          <w:rFonts w:cs="Arial"/>
          <w:sz w:val="20"/>
          <w:szCs w:val="20"/>
        </w:rPr>
        <w:t xml:space="preserve">) and have suitable skills, qualifications and experience as determined by the service. Individual </w:t>
      </w:r>
      <w:r w:rsidR="00CD1FF4">
        <w:rPr>
          <w:rFonts w:cs="Arial"/>
          <w:sz w:val="20"/>
          <w:szCs w:val="20"/>
        </w:rPr>
        <w:t>s</w:t>
      </w:r>
      <w:r w:rsidRPr="001C2FBD">
        <w:rPr>
          <w:rFonts w:cs="Arial"/>
          <w:sz w:val="20"/>
          <w:szCs w:val="20"/>
        </w:rPr>
        <w:t>upervisor certificates are also still valid.</w:t>
      </w:r>
    </w:p>
    <w:p w14:paraId="3B7AF476" w14:textId="77777777" w:rsidR="00D4313C" w:rsidRPr="001C2FBD" w:rsidRDefault="00D4313C" w:rsidP="00D4313C">
      <w:pPr>
        <w:pStyle w:val="BodyText"/>
        <w:rPr>
          <w:rFonts w:cs="Arial"/>
          <w:szCs w:val="20"/>
        </w:rPr>
      </w:pPr>
      <w:r w:rsidRPr="001C2FBD">
        <w:rPr>
          <w:rFonts w:cs="Arial"/>
          <w:szCs w:val="20"/>
        </w:rPr>
        <w:lastRenderedPageBreak/>
        <w:t xml:space="preserve">A Certified Supervisor placed in day-to-day charge of a service </w:t>
      </w:r>
      <w:r w:rsidRPr="001C2FBD">
        <w:rPr>
          <w:rFonts w:cs="Arial"/>
          <w:b/>
          <w:szCs w:val="20"/>
        </w:rPr>
        <w:t>does not</w:t>
      </w:r>
      <w:r w:rsidRPr="001C2FBD">
        <w:rPr>
          <w:rFonts w:cs="Arial"/>
          <w:szCs w:val="20"/>
        </w:rPr>
        <w:t xml:space="preserve"> have the same responsibilities under the National Law as the Nominated Supervisor.</w:t>
      </w:r>
    </w:p>
    <w:p w14:paraId="7701274F" w14:textId="77777777" w:rsidR="00FA042E" w:rsidRDefault="00FA042E" w:rsidP="00501062">
      <w:pPr>
        <w:pStyle w:val="BodyText"/>
        <w:rPr>
          <w:b/>
        </w:rPr>
      </w:pPr>
    </w:p>
    <w:p w14:paraId="024DF6BE" w14:textId="77777777" w:rsidR="00501062" w:rsidRPr="00815441" w:rsidRDefault="00501062" w:rsidP="00501062">
      <w:pPr>
        <w:pStyle w:val="BodyText"/>
      </w:pPr>
      <w:r w:rsidRPr="00A12B9A">
        <w:rPr>
          <w:b/>
        </w:rPr>
        <w:t>Duty of care:</w:t>
      </w:r>
      <w:r w:rsidRPr="00815441">
        <w:t xml:space="preserve"> A common law concept that refers to the responsibilities of organisations to provide people with an adequate level of protection </w:t>
      </w:r>
      <w:r>
        <w:t xml:space="preserve">against harm and all reasonable </w:t>
      </w:r>
      <w:r w:rsidRPr="00815441">
        <w:t>foreseeable risk of injury.</w:t>
      </w:r>
    </w:p>
    <w:p w14:paraId="03FF8003" w14:textId="77777777" w:rsidR="00501062" w:rsidRDefault="00501062" w:rsidP="00501062">
      <w:pPr>
        <w:pStyle w:val="BodyText"/>
        <w:spacing w:before="0" w:after="0"/>
        <w:rPr>
          <w:rStyle w:val="Hyperlink"/>
        </w:rPr>
      </w:pPr>
      <w:r w:rsidRPr="00A12B9A">
        <w:rPr>
          <w:b/>
        </w:rPr>
        <w:t>Fit</w:t>
      </w:r>
      <w:r>
        <w:rPr>
          <w:b/>
        </w:rPr>
        <w:t xml:space="preserve"> </w:t>
      </w:r>
      <w:r w:rsidRPr="00A12B9A">
        <w:rPr>
          <w:b/>
        </w:rPr>
        <w:t>and</w:t>
      </w:r>
      <w:r>
        <w:rPr>
          <w:b/>
        </w:rPr>
        <w:t xml:space="preserve"> </w:t>
      </w:r>
      <w:r w:rsidRPr="00A12B9A">
        <w:rPr>
          <w:b/>
        </w:rPr>
        <w:t>proper:</w:t>
      </w:r>
      <w:r w:rsidRPr="00815441">
        <w:t xml:space="preserve"> In determining whether an applicant is fit and proper, the Regulatory Authority must take into account the applicant’s history of involvement in education and care services, their compliance with current and prior law, criminal history record check and any bankruptcy or insolvency issues. </w:t>
      </w:r>
      <w:r>
        <w:t xml:space="preserve">The Regulatory Authority may reassess fitness and propriety at any time. Applicants are required to complete the Declaration of Fitness and Propriety form on the ACECQA website and have this approved by the Regulatory Authority. This form must be completed by an individual provider applicant or in the case of an entity provider applicant, each person with management or control of a service. The form is available at: </w:t>
      </w:r>
      <w:hyperlink r:id="rId12" w:history="1">
        <w:r w:rsidRPr="004D4EA6">
          <w:rPr>
            <w:rStyle w:val="Hyperlink"/>
          </w:rPr>
          <w:t>http://acecqa.gov.au/application-forms/provider-approvals/</w:t>
        </w:r>
      </w:hyperlink>
      <w:r>
        <w:rPr>
          <w:rStyle w:val="Hyperlink"/>
        </w:rPr>
        <w:t xml:space="preserve"> </w:t>
      </w:r>
    </w:p>
    <w:p w14:paraId="7BDEB447" w14:textId="77777777" w:rsidR="00501062" w:rsidRDefault="00501062" w:rsidP="00501062">
      <w:pPr>
        <w:pStyle w:val="BodyText"/>
        <w:spacing w:before="0" w:after="0"/>
      </w:pPr>
      <w:r>
        <w:t>(</w:t>
      </w:r>
      <w:r>
        <w:rPr>
          <w:bCs/>
        </w:rPr>
        <w:t>Note:</w:t>
      </w:r>
      <w:r>
        <w:t xml:space="preserve"> Under the </w:t>
      </w:r>
      <w:r>
        <w:rPr>
          <w:i/>
        </w:rPr>
        <w:t>Education and Care Services National Law Act 2010</w:t>
      </w:r>
      <w:r>
        <w:t>, Section 5, Definitions: “</w:t>
      </w:r>
      <w:r>
        <w:rPr>
          <w:b/>
          <w:bCs/>
          <w:i/>
          <w:iCs/>
        </w:rPr>
        <w:t>person with management or control</w:t>
      </w:r>
      <w:r>
        <w:rPr>
          <w:i/>
          <w:iCs/>
        </w:rPr>
        <w:t>, in relation to an education and care service, means – (b) if the provider of the service is an eligible association, each member of the executive committee of the association who has the responsibility, alone or with others, for managing the delivery of the education and care service”.</w:t>
      </w:r>
      <w:r>
        <w:t>)</w:t>
      </w:r>
      <w:r w:rsidR="00AE3C5F">
        <w:t>.</w:t>
      </w:r>
    </w:p>
    <w:p w14:paraId="29B6F9AD" w14:textId="77777777" w:rsidR="00501062" w:rsidRDefault="00501062" w:rsidP="00501062">
      <w:pPr>
        <w:spacing w:after="0"/>
        <w:rPr>
          <w:b/>
        </w:rPr>
      </w:pPr>
    </w:p>
    <w:p w14:paraId="6B953025" w14:textId="77777777" w:rsidR="008D2562" w:rsidRPr="00815441" w:rsidRDefault="008D2562" w:rsidP="008D2562">
      <w:pPr>
        <w:pStyle w:val="BodyText"/>
      </w:pPr>
      <w:r w:rsidRPr="00A12B9A">
        <w:rPr>
          <w:b/>
        </w:rPr>
        <w:t xml:space="preserve">Nominated Supervisor: </w:t>
      </w:r>
      <w:r w:rsidRPr="00815441">
        <w:t xml:space="preserve">A person who has been nominated by the Approved Provider of the </w:t>
      </w:r>
      <w:r>
        <w:t xml:space="preserve">service under Part 3 of the Act </w:t>
      </w:r>
      <w:r w:rsidRPr="00815441">
        <w:t>and who has consented to that nomination</w:t>
      </w:r>
      <w:r>
        <w:t xml:space="preserve"> in writing can be the Nominated Supervisor</w:t>
      </w:r>
      <w:r w:rsidRPr="00815441">
        <w:t xml:space="preserve">. </w:t>
      </w:r>
      <w:r>
        <w:t xml:space="preserve">All services must have a Nominated Supervisor with </w:t>
      </w:r>
      <w:r w:rsidRPr="00815441">
        <w:t xml:space="preserve">responsibility for the service in accordance with the National Regulations. </w:t>
      </w:r>
      <w:r w:rsidRPr="00961018">
        <w:rPr>
          <w:szCs w:val="20"/>
        </w:rPr>
        <w:t xml:space="preserve">The Approved Provider must take reasonable steps to ensure the Nominated Supervisor is a fit and proper person (refer to </w:t>
      </w:r>
      <w:r w:rsidRPr="00961018">
        <w:rPr>
          <w:i/>
          <w:szCs w:val="20"/>
        </w:rPr>
        <w:t>Definitions</w:t>
      </w:r>
      <w:r w:rsidRPr="00961018">
        <w:rPr>
          <w:szCs w:val="20"/>
        </w:rPr>
        <w:t>), with suitable skills, qualifications and experience. The Regulatory Authority must be notified if the Nominated Supervisor for the service changes or is no longer employed at the service</w:t>
      </w:r>
      <w:r>
        <w:rPr>
          <w:sz w:val="22"/>
          <w:szCs w:val="22"/>
        </w:rPr>
        <w:t>.</w:t>
      </w:r>
    </w:p>
    <w:p w14:paraId="5564F486" w14:textId="77777777" w:rsidR="00D4313C" w:rsidRPr="00640AB8" w:rsidRDefault="00D4313C" w:rsidP="00640AB8">
      <w:pPr>
        <w:pStyle w:val="Default"/>
        <w:rPr>
          <w:rFonts w:cs="Arial"/>
          <w:sz w:val="20"/>
          <w:szCs w:val="20"/>
        </w:rPr>
      </w:pPr>
      <w:r w:rsidRPr="009D36B1">
        <w:rPr>
          <w:rFonts w:ascii="Arial" w:hAnsi="Arial" w:cs="Arial"/>
          <w:b/>
          <w:sz w:val="20"/>
          <w:szCs w:val="20"/>
        </w:rPr>
        <w:t>Supervisor Certificate:</w:t>
      </w:r>
      <w:r w:rsidRPr="009D36B1">
        <w:rPr>
          <w:rFonts w:ascii="Arial" w:hAnsi="Arial" w:cs="Arial"/>
          <w:sz w:val="20"/>
          <w:szCs w:val="20"/>
        </w:rPr>
        <w:t xml:space="preserve"> A </w:t>
      </w:r>
      <w:r w:rsidR="006448B7">
        <w:rPr>
          <w:rFonts w:ascii="Arial" w:hAnsi="Arial" w:cs="Arial"/>
          <w:sz w:val="20"/>
          <w:szCs w:val="20"/>
        </w:rPr>
        <w:t>s</w:t>
      </w:r>
      <w:r w:rsidRPr="009D36B1">
        <w:rPr>
          <w:rFonts w:ascii="Arial" w:hAnsi="Arial" w:cs="Arial"/>
          <w:sz w:val="20"/>
          <w:szCs w:val="20"/>
        </w:rPr>
        <w:t xml:space="preserve">upervisor </w:t>
      </w:r>
      <w:r w:rsidR="006448B7">
        <w:rPr>
          <w:rFonts w:ascii="Arial" w:hAnsi="Arial" w:cs="Arial"/>
          <w:sz w:val="20"/>
          <w:szCs w:val="20"/>
        </w:rPr>
        <w:t>c</w:t>
      </w:r>
      <w:r w:rsidRPr="009D36B1">
        <w:rPr>
          <w:rFonts w:ascii="Arial" w:hAnsi="Arial" w:cs="Arial"/>
          <w:sz w:val="20"/>
          <w:szCs w:val="20"/>
        </w:rPr>
        <w:t xml:space="preserve">ertificate is provided to each centre-based service by the Regulatory Authority. The Approved Provider can nominate a person or persons to be the Certified Supervisor (refer to </w:t>
      </w:r>
      <w:r w:rsidRPr="009D36B1">
        <w:rPr>
          <w:rFonts w:ascii="Arial" w:hAnsi="Arial" w:cs="Arial"/>
          <w:i/>
          <w:sz w:val="20"/>
          <w:szCs w:val="20"/>
        </w:rPr>
        <w:t xml:space="preserve">Definitions) </w:t>
      </w:r>
      <w:r w:rsidRPr="009D36B1">
        <w:rPr>
          <w:rFonts w:ascii="Arial" w:hAnsi="Arial" w:cs="Arial"/>
          <w:sz w:val="20"/>
          <w:szCs w:val="20"/>
        </w:rPr>
        <w:t xml:space="preserve">at the service without requiring Departmental approval or paying a fee. </w:t>
      </w:r>
      <w:r w:rsidR="008923B6" w:rsidRPr="00640AB8">
        <w:rPr>
          <w:rFonts w:ascii="Arial" w:hAnsi="Arial" w:cs="Arial"/>
          <w:bCs/>
          <w:sz w:val="20"/>
          <w:szCs w:val="20"/>
        </w:rPr>
        <w:t xml:space="preserve">Individual </w:t>
      </w:r>
      <w:r w:rsidR="00CD1FF4" w:rsidRPr="00640AB8">
        <w:rPr>
          <w:rFonts w:ascii="Arial" w:hAnsi="Arial" w:cs="Arial"/>
          <w:bCs/>
          <w:sz w:val="20"/>
          <w:szCs w:val="20"/>
        </w:rPr>
        <w:t>s</w:t>
      </w:r>
      <w:r w:rsidR="008923B6" w:rsidRPr="00640AB8">
        <w:rPr>
          <w:rFonts w:ascii="Arial" w:hAnsi="Arial" w:cs="Arial"/>
          <w:bCs/>
          <w:sz w:val="20"/>
          <w:szCs w:val="20"/>
        </w:rPr>
        <w:t xml:space="preserve">upervisor </w:t>
      </w:r>
      <w:r w:rsidR="006448B7" w:rsidRPr="00640AB8">
        <w:rPr>
          <w:rFonts w:ascii="Arial" w:hAnsi="Arial" w:cs="Arial"/>
          <w:bCs/>
          <w:sz w:val="20"/>
          <w:szCs w:val="20"/>
        </w:rPr>
        <w:t>c</w:t>
      </w:r>
      <w:r w:rsidR="008923B6" w:rsidRPr="00640AB8">
        <w:rPr>
          <w:rFonts w:ascii="Arial" w:hAnsi="Arial" w:cs="Arial"/>
          <w:bCs/>
          <w:sz w:val="20"/>
          <w:szCs w:val="20"/>
        </w:rPr>
        <w:t>ertificates are still valid</w:t>
      </w:r>
      <w:r w:rsidR="008A44A1" w:rsidRPr="00640AB8">
        <w:rPr>
          <w:rFonts w:ascii="Arial" w:hAnsi="Arial" w:cs="Arial"/>
          <w:bCs/>
          <w:sz w:val="20"/>
          <w:szCs w:val="20"/>
        </w:rPr>
        <w:t>,</w:t>
      </w:r>
      <w:r w:rsidR="008923B6" w:rsidRPr="00640AB8">
        <w:rPr>
          <w:rFonts w:ascii="Arial" w:hAnsi="Arial" w:cs="Arial"/>
          <w:bCs/>
          <w:sz w:val="20"/>
          <w:szCs w:val="20"/>
        </w:rPr>
        <w:t xml:space="preserve"> however </w:t>
      </w:r>
      <w:r w:rsidR="007B2446" w:rsidRPr="00640AB8">
        <w:rPr>
          <w:rFonts w:ascii="Arial" w:hAnsi="Arial" w:cs="Arial"/>
          <w:bCs/>
          <w:sz w:val="20"/>
          <w:szCs w:val="20"/>
        </w:rPr>
        <w:t>most i</w:t>
      </w:r>
      <w:r w:rsidR="003921BD" w:rsidRPr="00640AB8">
        <w:rPr>
          <w:rFonts w:ascii="Arial" w:hAnsi="Arial" w:cs="Arial"/>
          <w:bCs/>
          <w:sz w:val="20"/>
          <w:szCs w:val="20"/>
        </w:rPr>
        <w:t>ndividual</w:t>
      </w:r>
      <w:r w:rsidR="007B2446" w:rsidRPr="00640AB8">
        <w:rPr>
          <w:rFonts w:ascii="Arial" w:hAnsi="Arial" w:cs="Arial"/>
          <w:bCs/>
          <w:sz w:val="20"/>
          <w:szCs w:val="20"/>
        </w:rPr>
        <w:t>s no longer need to apply</w:t>
      </w:r>
      <w:r w:rsidR="008923B6" w:rsidRPr="00640AB8">
        <w:rPr>
          <w:rFonts w:ascii="Arial" w:hAnsi="Arial" w:cs="Arial"/>
          <w:bCs/>
          <w:sz w:val="20"/>
          <w:szCs w:val="20"/>
        </w:rPr>
        <w:t xml:space="preserve">. </w:t>
      </w:r>
    </w:p>
    <w:p w14:paraId="1D05A6E7" w14:textId="77777777" w:rsidR="00501062" w:rsidRDefault="00501062" w:rsidP="00501062">
      <w:pPr>
        <w:pStyle w:val="BodyText"/>
      </w:pPr>
      <w:r w:rsidRPr="00A12B9A">
        <w:rPr>
          <w:b/>
        </w:rPr>
        <w:t>Responsible Person:</w:t>
      </w:r>
      <w:r w:rsidRPr="00815441">
        <w:t xml:space="preserve"> The Approved Provider (if that person is an individual, and in any other case the person with management or control of the service operated by the Approved Provider) or a Nominated Supervisor or Certified Supervisor who has been placed in day-to-day charge of the service in accordance with the National Regulations.</w:t>
      </w:r>
    </w:p>
    <w:p w14:paraId="7CE0A6CF" w14:textId="77777777" w:rsidR="00501062" w:rsidRPr="00815441" w:rsidRDefault="00501062" w:rsidP="00501062">
      <w:pPr>
        <w:pStyle w:val="Heading2"/>
      </w:pPr>
      <w:r w:rsidRPr="00815441">
        <w:t>Sources and related policies</w:t>
      </w:r>
    </w:p>
    <w:p w14:paraId="516C4A8F" w14:textId="77777777" w:rsidR="00501062" w:rsidRPr="00815441" w:rsidRDefault="00501062" w:rsidP="00501062">
      <w:pPr>
        <w:pStyle w:val="Heading4"/>
      </w:pPr>
      <w:r w:rsidRPr="00815441">
        <w:t>Sources</w:t>
      </w:r>
    </w:p>
    <w:p w14:paraId="4275376D" w14:textId="77777777" w:rsidR="00501062" w:rsidRPr="0080587B" w:rsidRDefault="00501062" w:rsidP="00501062">
      <w:pPr>
        <w:pStyle w:val="Bullets1"/>
        <w:ind w:left="284" w:hanging="284"/>
        <w:rPr>
          <w:rStyle w:val="Hyperlink"/>
        </w:rPr>
      </w:pPr>
      <w:r w:rsidRPr="0080587B">
        <w:t xml:space="preserve">Australian Children’s Education and Care Quality Authority (ACECQA), Information Sheets: </w:t>
      </w:r>
      <w:hyperlink r:id="rId13" w:history="1">
        <w:r w:rsidRPr="0080587B">
          <w:rPr>
            <w:rStyle w:val="Hyperlink"/>
          </w:rPr>
          <w:t>www.acecqa.gov.au/national-quality-framework/information-sheets/</w:t>
        </w:r>
      </w:hyperlink>
      <w:r>
        <w:rPr>
          <w:rStyle w:val="Hyperlink"/>
        </w:rPr>
        <w:t xml:space="preserve"> </w:t>
      </w:r>
    </w:p>
    <w:p w14:paraId="25DC2485" w14:textId="77777777" w:rsidR="00501062" w:rsidRPr="0080587B" w:rsidRDefault="00501062" w:rsidP="00501062">
      <w:pPr>
        <w:pStyle w:val="Bullets1"/>
        <w:ind w:left="284" w:hanging="284"/>
        <w:rPr>
          <w:rStyle w:val="Hyperlink"/>
        </w:rPr>
      </w:pPr>
      <w:r w:rsidRPr="00A12B9A">
        <w:rPr>
          <w:i/>
        </w:rPr>
        <w:t>Guide to the Education and Care Services National Law and the Education and Care Services National Regulations 2011</w:t>
      </w:r>
      <w:r w:rsidRPr="0080587B">
        <w:t xml:space="preserve">: </w:t>
      </w:r>
      <w:hyperlink r:id="rId14" w:history="1">
        <w:r w:rsidRPr="0080587B">
          <w:rPr>
            <w:rStyle w:val="Hyperlink"/>
          </w:rPr>
          <w:t>www.acecqa.gov.au</w:t>
        </w:r>
      </w:hyperlink>
      <w:r>
        <w:rPr>
          <w:rStyle w:val="Hyperlink"/>
        </w:rPr>
        <w:t xml:space="preserve"> </w:t>
      </w:r>
    </w:p>
    <w:p w14:paraId="0971C694" w14:textId="77777777" w:rsidR="00501062" w:rsidRPr="0080587B" w:rsidRDefault="00501062" w:rsidP="00501062">
      <w:pPr>
        <w:pStyle w:val="Bullets1"/>
        <w:ind w:left="284" w:hanging="284"/>
        <w:rPr>
          <w:rStyle w:val="Hyperlink"/>
        </w:rPr>
      </w:pPr>
      <w:r w:rsidRPr="00A12B9A">
        <w:rPr>
          <w:i/>
        </w:rPr>
        <w:t>Guide to the National Quality Standard</w:t>
      </w:r>
      <w:r w:rsidRPr="0080587B">
        <w:t xml:space="preserve">: </w:t>
      </w:r>
      <w:hyperlink r:id="rId15" w:history="1">
        <w:r w:rsidRPr="0080587B">
          <w:rPr>
            <w:rStyle w:val="Hyperlink"/>
          </w:rPr>
          <w:t>www.acecqa.gov.au</w:t>
        </w:r>
      </w:hyperlink>
      <w:r>
        <w:rPr>
          <w:rStyle w:val="Hyperlink"/>
        </w:rPr>
        <w:t xml:space="preserve"> </w:t>
      </w:r>
    </w:p>
    <w:p w14:paraId="6CDBE172" w14:textId="77777777" w:rsidR="00501062" w:rsidRPr="00815441" w:rsidRDefault="00501062" w:rsidP="00501062">
      <w:pPr>
        <w:pStyle w:val="Heading4"/>
      </w:pPr>
      <w:r w:rsidRPr="00815441">
        <w:t>Service policies</w:t>
      </w:r>
    </w:p>
    <w:p w14:paraId="4A64CFC5" w14:textId="77777777" w:rsidR="00501062" w:rsidRPr="00A12B9A" w:rsidRDefault="00501062" w:rsidP="00501062">
      <w:pPr>
        <w:pStyle w:val="Bullets1"/>
        <w:ind w:left="284" w:hanging="284"/>
        <w:rPr>
          <w:i/>
        </w:rPr>
      </w:pPr>
      <w:r w:rsidRPr="00A12B9A">
        <w:rPr>
          <w:i/>
        </w:rPr>
        <w:t>Code of Conduct Policy</w:t>
      </w:r>
    </w:p>
    <w:p w14:paraId="18838E10" w14:textId="77777777" w:rsidR="00501062" w:rsidRPr="00A12B9A" w:rsidRDefault="00501062" w:rsidP="00501062">
      <w:pPr>
        <w:pStyle w:val="Bullets1"/>
        <w:ind w:left="284" w:hanging="284"/>
        <w:rPr>
          <w:i/>
        </w:rPr>
      </w:pPr>
      <w:r w:rsidRPr="00A12B9A">
        <w:rPr>
          <w:i/>
        </w:rPr>
        <w:t>Participation of Volunteers and Students Policy</w:t>
      </w:r>
    </w:p>
    <w:p w14:paraId="09EDB8F5" w14:textId="77777777" w:rsidR="00501062" w:rsidRPr="00A12B9A" w:rsidRDefault="00501062" w:rsidP="00501062">
      <w:pPr>
        <w:pStyle w:val="Bullets1"/>
        <w:ind w:left="284" w:hanging="284"/>
        <w:rPr>
          <w:i/>
        </w:rPr>
      </w:pPr>
      <w:r>
        <w:rPr>
          <w:i/>
        </w:rPr>
        <w:t xml:space="preserve">Privacy and Confidentiality </w:t>
      </w:r>
      <w:r w:rsidRPr="00A12B9A">
        <w:rPr>
          <w:i/>
        </w:rPr>
        <w:t>Policy</w:t>
      </w:r>
    </w:p>
    <w:p w14:paraId="7FDD4ADE" w14:textId="77777777" w:rsidR="00501062" w:rsidRPr="00A12B9A" w:rsidRDefault="00501062" w:rsidP="00501062">
      <w:pPr>
        <w:pStyle w:val="Bullets1"/>
        <w:ind w:left="284" w:hanging="284"/>
        <w:rPr>
          <w:i/>
        </w:rPr>
      </w:pPr>
      <w:r w:rsidRPr="00A12B9A">
        <w:rPr>
          <w:i/>
        </w:rPr>
        <w:t>Staffing Policy</w:t>
      </w:r>
    </w:p>
    <w:p w14:paraId="678E2BDE" w14:textId="77777777" w:rsidR="00501062" w:rsidRDefault="00501062" w:rsidP="00501062">
      <w:pPr>
        <w:pStyle w:val="Bullets1"/>
        <w:ind w:left="284" w:hanging="284"/>
        <w:rPr>
          <w:i/>
        </w:rPr>
      </w:pPr>
      <w:r w:rsidRPr="00A12B9A">
        <w:rPr>
          <w:i/>
        </w:rPr>
        <w:t>Supervision of Children Policy</w:t>
      </w:r>
    </w:p>
    <w:p w14:paraId="5435E25A" w14:textId="77777777" w:rsidR="009A3C84" w:rsidRDefault="009A3C84" w:rsidP="009A3C84">
      <w:pPr>
        <w:pStyle w:val="Bullets1"/>
        <w:numPr>
          <w:ilvl w:val="0"/>
          <w:numId w:val="0"/>
        </w:numPr>
        <w:rPr>
          <w:i/>
        </w:rPr>
      </w:pPr>
    </w:p>
    <w:p w14:paraId="32397674" w14:textId="77777777" w:rsidR="00501062" w:rsidRPr="00815441" w:rsidRDefault="00501062" w:rsidP="00501062">
      <w:pPr>
        <w:pStyle w:val="Heading1"/>
      </w:pPr>
      <w:r w:rsidRPr="00815441">
        <w:lastRenderedPageBreak/>
        <w:t>Procedures</w:t>
      </w:r>
    </w:p>
    <w:p w14:paraId="61821F39" w14:textId="77777777" w:rsidR="00501062" w:rsidRPr="00815441" w:rsidRDefault="00501062" w:rsidP="00501062">
      <w:pPr>
        <w:pStyle w:val="Heading4"/>
      </w:pPr>
      <w:r w:rsidRPr="00815441">
        <w:t>The Approved Provider is responsible for:</w:t>
      </w:r>
    </w:p>
    <w:p w14:paraId="57F4BACD" w14:textId="77777777" w:rsidR="00501062" w:rsidRDefault="00501062" w:rsidP="00501062">
      <w:pPr>
        <w:pStyle w:val="Bullets1"/>
        <w:ind w:left="284" w:hanging="284"/>
      </w:pPr>
      <w:r w:rsidRPr="00815441">
        <w:t xml:space="preserve">ensuring there is a Responsible Person (refer to </w:t>
      </w:r>
      <w:r w:rsidRPr="00A12B9A">
        <w:rPr>
          <w:i/>
        </w:rPr>
        <w:t>Background</w:t>
      </w:r>
      <w:r w:rsidRPr="00815441">
        <w:t xml:space="preserve"> and </w:t>
      </w:r>
      <w:r w:rsidRPr="00A12B9A">
        <w:rPr>
          <w:i/>
        </w:rPr>
        <w:t>Definitions</w:t>
      </w:r>
      <w:r w:rsidRPr="00815441">
        <w:t>) on the premises at all times the service is delivering education and care programs for children</w:t>
      </w:r>
    </w:p>
    <w:p w14:paraId="62AF364B" w14:textId="77777777" w:rsidR="00683288" w:rsidRDefault="00683288" w:rsidP="00501062">
      <w:pPr>
        <w:pStyle w:val="Bullets1"/>
        <w:ind w:left="284" w:hanging="284"/>
      </w:pPr>
      <w:r>
        <w:t xml:space="preserve">ensuring that the service has a </w:t>
      </w:r>
      <w:r w:rsidR="007A713A">
        <w:t xml:space="preserve">received a </w:t>
      </w:r>
      <w:r>
        <w:t>supervisor certificate</w:t>
      </w:r>
      <w:r w:rsidR="007A713A">
        <w:t xml:space="preserve"> </w:t>
      </w:r>
      <w:r w:rsidR="0061506B">
        <w:t xml:space="preserve">(refer to </w:t>
      </w:r>
      <w:r w:rsidR="0061506B" w:rsidRPr="001C2FBD">
        <w:rPr>
          <w:i/>
        </w:rPr>
        <w:t>Definitions</w:t>
      </w:r>
      <w:r w:rsidR="0061506B">
        <w:t xml:space="preserve">) </w:t>
      </w:r>
      <w:r w:rsidR="007A713A">
        <w:t>from the Regulatory Authority</w:t>
      </w:r>
    </w:p>
    <w:p w14:paraId="76C2C3B1" w14:textId="77777777" w:rsidR="00501062" w:rsidRPr="00815441" w:rsidRDefault="00683288" w:rsidP="00501062">
      <w:pPr>
        <w:pStyle w:val="Bullets1"/>
        <w:ind w:left="284" w:hanging="284"/>
      </w:pPr>
      <w:r>
        <w:t xml:space="preserve">nominating sufficient </w:t>
      </w:r>
      <w:r w:rsidR="00FD7161">
        <w:t>C</w:t>
      </w:r>
      <w:r>
        <w:t xml:space="preserve">ertified </w:t>
      </w:r>
      <w:r w:rsidR="00FD7161">
        <w:t>S</w:t>
      </w:r>
      <w:r>
        <w:t xml:space="preserve">upervisors to meet </w:t>
      </w:r>
      <w:r w:rsidR="00FD7161" w:rsidRPr="00815441">
        <w:t>legislative requirement</w:t>
      </w:r>
      <w:r w:rsidR="00FD7161">
        <w:t>s</w:t>
      </w:r>
      <w:r w:rsidR="00FD7161" w:rsidRPr="00815441">
        <w:t xml:space="preserve"> for a Responsible Person at the service </w:t>
      </w:r>
      <w:r w:rsidR="00FD7161">
        <w:t xml:space="preserve">at all times, including </w:t>
      </w:r>
      <w:r w:rsidR="00FD7161" w:rsidRPr="00815441">
        <w:t>during periods of leave or illness</w:t>
      </w:r>
      <w:r w:rsidR="00657522">
        <w:t>.</w:t>
      </w:r>
      <w:r w:rsidR="00E43FF7">
        <w:t xml:space="preserve"> E</w:t>
      </w:r>
      <w:r w:rsidR="00501062" w:rsidRPr="00815441">
        <w:t>nsuring that a person nominated as a Responsible Person has appropriate skill level, experience, qualifications and approval to work with children, as required under the National Law and National Regulations</w:t>
      </w:r>
    </w:p>
    <w:p w14:paraId="28DA6572" w14:textId="77777777" w:rsidR="00501062" w:rsidRPr="00815441" w:rsidRDefault="00501062" w:rsidP="00501062">
      <w:pPr>
        <w:pStyle w:val="Bullets1"/>
        <w:ind w:left="284" w:hanging="284"/>
      </w:pPr>
      <w:r w:rsidRPr="00815441">
        <w:t xml:space="preserve">ensuring that the name and position of the Responsible Person in charge of the service is displayed and easily visible from the main entrance of the </w:t>
      </w:r>
      <w:r>
        <w:t>service</w:t>
      </w:r>
      <w:r>
        <w:rPr>
          <w:rStyle w:val="FootnoteReference"/>
        </w:rPr>
        <w:footnoteReference w:id="1"/>
      </w:r>
      <w:r>
        <w:t xml:space="preserve"> </w:t>
      </w:r>
      <w:r w:rsidRPr="00815441">
        <w:t>(National Law: Section 172)</w:t>
      </w:r>
    </w:p>
    <w:p w14:paraId="5D72A1E6" w14:textId="77777777" w:rsidR="00501062" w:rsidRPr="00815441" w:rsidRDefault="00501062" w:rsidP="00501062">
      <w:pPr>
        <w:pStyle w:val="Bullets1"/>
        <w:ind w:left="284" w:hanging="284"/>
      </w:pPr>
      <w:r w:rsidRPr="00815441">
        <w:t xml:space="preserve">ensuring that the service does not operate without a Nominated Supervisor, and that this person has given written consent </w:t>
      </w:r>
      <w:r w:rsidR="000D4CA7">
        <w:t>to be in the role</w:t>
      </w:r>
    </w:p>
    <w:p w14:paraId="11B9EC71" w14:textId="77777777" w:rsidR="00501062" w:rsidRPr="00815441" w:rsidRDefault="00501062" w:rsidP="00501062">
      <w:pPr>
        <w:pStyle w:val="Bullets1"/>
        <w:ind w:left="284" w:hanging="284"/>
      </w:pPr>
      <w:r w:rsidRPr="00815441">
        <w:t>ensuring that the name of the Nominated Supervisor is displayed prominently at the service</w:t>
      </w:r>
    </w:p>
    <w:p w14:paraId="24B07681" w14:textId="77777777" w:rsidR="00501062" w:rsidRPr="00815441" w:rsidRDefault="00501062" w:rsidP="00501062">
      <w:pPr>
        <w:pStyle w:val="Bullets1"/>
        <w:ind w:left="284" w:hanging="284"/>
      </w:pPr>
      <w:r w:rsidRPr="00815441">
        <w:t xml:space="preserve">ensuring that information about the Nominated Supervisor, including name, address, date of birth, evidence of qualifications and approved training, and a Working </w:t>
      </w:r>
      <w:r>
        <w:t>w</w:t>
      </w:r>
      <w:r w:rsidRPr="00815441">
        <w:t xml:space="preserve">ith Children Check (refer to </w:t>
      </w:r>
      <w:r w:rsidRPr="00204458">
        <w:rPr>
          <w:i/>
        </w:rPr>
        <w:t>Staffing Policy</w:t>
      </w:r>
      <w:r w:rsidRPr="00815441">
        <w:t>) is kept on the staff record (Regulation 146)</w:t>
      </w:r>
    </w:p>
    <w:p w14:paraId="20BF0955" w14:textId="77777777" w:rsidR="00501062" w:rsidRPr="00815441" w:rsidRDefault="00501062" w:rsidP="00501062">
      <w:pPr>
        <w:pStyle w:val="Bullets1"/>
        <w:ind w:left="284" w:hanging="284"/>
      </w:pPr>
      <w:r w:rsidRPr="00815441">
        <w:t>notifying the Regulatory Authority in writing if there is a change of person in the role of Nominated Supervisor (Section 56, Regulation 35)</w:t>
      </w:r>
    </w:p>
    <w:p w14:paraId="5BD5CCE1" w14:textId="77777777" w:rsidR="00501062" w:rsidRPr="00815441" w:rsidRDefault="00501062" w:rsidP="00501062">
      <w:pPr>
        <w:pStyle w:val="Bullets1"/>
        <w:ind w:left="284" w:hanging="284"/>
      </w:pPr>
      <w:r w:rsidRPr="00815441">
        <w:t>ensuring that, in the absence from the service premises of a Nominated Supervisor</w:t>
      </w:r>
      <w:r w:rsidR="00FD7161">
        <w:t xml:space="preserve"> </w:t>
      </w:r>
      <w:r w:rsidRPr="00815441">
        <w:t xml:space="preserve">a Certified Supervisor </w:t>
      </w:r>
      <w:r w:rsidR="00C22398">
        <w:t>(</w:t>
      </w:r>
      <w:r w:rsidRPr="00815441">
        <w:t xml:space="preserve">refer to </w:t>
      </w:r>
      <w:r w:rsidRPr="00204458">
        <w:rPr>
          <w:i/>
        </w:rPr>
        <w:t>Definitions</w:t>
      </w:r>
      <w:r w:rsidRPr="00815441">
        <w:t>) is placed in day-to-day charge of the service</w:t>
      </w:r>
    </w:p>
    <w:p w14:paraId="3421CD20" w14:textId="77777777" w:rsidR="00501062" w:rsidRPr="00815441" w:rsidRDefault="00501062" w:rsidP="00501062">
      <w:pPr>
        <w:pStyle w:val="Bullets1"/>
        <w:ind w:left="284" w:hanging="284"/>
      </w:pPr>
      <w:r w:rsidRPr="00815441">
        <w:t>ensuring that the Nominated Supervisor and Certified Supervisors have a sound understanding of the role of Responsible Person</w:t>
      </w:r>
    </w:p>
    <w:p w14:paraId="0FC701FF" w14:textId="77777777" w:rsidR="00501062" w:rsidRPr="00815441" w:rsidRDefault="00501062" w:rsidP="00501062">
      <w:pPr>
        <w:pStyle w:val="Bullets1"/>
        <w:ind w:left="284" w:hanging="284"/>
      </w:pPr>
      <w:r w:rsidRPr="00815441">
        <w:t xml:space="preserve">ensuring details of </w:t>
      </w:r>
      <w:r w:rsidR="006448B7">
        <w:t>s</w:t>
      </w:r>
      <w:r w:rsidRPr="00815441">
        <w:t xml:space="preserve">upervisor </w:t>
      </w:r>
      <w:r w:rsidR="006448B7">
        <w:t>c</w:t>
      </w:r>
      <w:r w:rsidRPr="00815441">
        <w:t>ertificates are recorded on the staff record</w:t>
      </w:r>
    </w:p>
    <w:p w14:paraId="60A43E0B" w14:textId="77777777" w:rsidR="00501062" w:rsidRPr="00815441" w:rsidRDefault="00501062" w:rsidP="00501062">
      <w:pPr>
        <w:pStyle w:val="Bullets1"/>
        <w:ind w:left="284" w:hanging="284"/>
      </w:pPr>
      <w:r w:rsidRPr="00815441">
        <w:t>notifying the Regulatory Authority in writing if there any changes to:</w:t>
      </w:r>
    </w:p>
    <w:p w14:paraId="17ED24DC" w14:textId="77777777" w:rsidR="00501062" w:rsidRPr="00815441" w:rsidRDefault="00501062" w:rsidP="00501062">
      <w:pPr>
        <w:pStyle w:val="Bullets2"/>
        <w:ind w:left="567" w:hanging="283"/>
      </w:pPr>
      <w:r w:rsidRPr="00815441">
        <w:t>the name of the Approved Provider</w:t>
      </w:r>
    </w:p>
    <w:p w14:paraId="7FABBEDF" w14:textId="77777777" w:rsidR="00501062" w:rsidRPr="00815441" w:rsidRDefault="00501062" w:rsidP="00501062">
      <w:pPr>
        <w:pStyle w:val="Bullets2"/>
        <w:ind w:left="567" w:hanging="283"/>
      </w:pPr>
      <w:r w:rsidRPr="00815441">
        <w:t>the appointment or removal of a person with management or control of the service operated by the Approved Provider</w:t>
      </w:r>
    </w:p>
    <w:p w14:paraId="7AC65EA1" w14:textId="77777777" w:rsidR="00501062" w:rsidRPr="00815441" w:rsidRDefault="00501062" w:rsidP="00501062">
      <w:pPr>
        <w:pStyle w:val="Bullets2"/>
        <w:ind w:left="567" w:hanging="283"/>
      </w:pPr>
      <w:r w:rsidRPr="00815441">
        <w:t>the status of the Approved Provider as fit and proper</w:t>
      </w:r>
    </w:p>
    <w:p w14:paraId="27293CCD" w14:textId="77777777" w:rsidR="00501062" w:rsidRPr="00815441" w:rsidRDefault="00501062" w:rsidP="00501062">
      <w:pPr>
        <w:pStyle w:val="Bullets1"/>
        <w:ind w:left="284" w:hanging="284"/>
      </w:pPr>
      <w:r w:rsidRPr="00815441">
        <w:t>notifying the Regulatory Authority if a Nominated Supervisor or Certified Supervisor has their Working with Children Check card or teacher registration suspended or cancelled, or if they are subject to any disciplinary proceedings under the law.</w:t>
      </w:r>
    </w:p>
    <w:p w14:paraId="740E571E" w14:textId="77777777" w:rsidR="00501062" w:rsidRPr="00815441" w:rsidRDefault="00501062" w:rsidP="00501062">
      <w:pPr>
        <w:pStyle w:val="Heading4"/>
        <w:spacing w:before="170"/>
      </w:pPr>
      <w:r w:rsidRPr="00815441">
        <w:t>The Nominated Supervisor is responsible for:</w:t>
      </w:r>
    </w:p>
    <w:p w14:paraId="65310126" w14:textId="77777777" w:rsidR="00501062" w:rsidRPr="00815441" w:rsidRDefault="00501062" w:rsidP="00501062">
      <w:pPr>
        <w:pStyle w:val="Bullets1"/>
        <w:ind w:left="284" w:hanging="284"/>
      </w:pPr>
      <w:r w:rsidRPr="00815441">
        <w:t>providing written consent to accept the role of Nominated Supervisor</w:t>
      </w:r>
    </w:p>
    <w:p w14:paraId="2405F456" w14:textId="77777777" w:rsidR="00501062" w:rsidRPr="00815441" w:rsidRDefault="00501062" w:rsidP="00501062">
      <w:pPr>
        <w:pStyle w:val="Bullets1"/>
        <w:ind w:left="284" w:hanging="284"/>
      </w:pPr>
      <w:r w:rsidRPr="00815441">
        <w:t>ensuring that, in their absence from the service premises</w:t>
      </w:r>
      <w:r w:rsidR="008E665F">
        <w:t xml:space="preserve">, </w:t>
      </w:r>
      <w:r w:rsidRPr="00815441">
        <w:t>a Certified Supervisor</w:t>
      </w:r>
      <w:r w:rsidR="003C18B9">
        <w:t>(</w:t>
      </w:r>
      <w:r w:rsidRPr="00815441">
        <w:t xml:space="preserve"> refer to </w:t>
      </w:r>
      <w:r w:rsidRPr="00204458">
        <w:rPr>
          <w:i/>
        </w:rPr>
        <w:t>Definitions</w:t>
      </w:r>
      <w:r w:rsidRPr="00815441">
        <w:t>) is placed in day-to-day charge of the service</w:t>
      </w:r>
    </w:p>
    <w:p w14:paraId="137B3F71" w14:textId="77777777" w:rsidR="00501062" w:rsidRPr="00815441" w:rsidRDefault="00501062" w:rsidP="00501062">
      <w:pPr>
        <w:pStyle w:val="Bullets1"/>
        <w:ind w:left="284" w:hanging="284"/>
      </w:pPr>
      <w:r w:rsidRPr="00815441">
        <w:t>ensuring they have a sound understanding of the role of Responsible Person</w:t>
      </w:r>
      <w:r w:rsidR="006448B7">
        <w:t xml:space="preserve"> (refer to </w:t>
      </w:r>
      <w:r w:rsidR="006448B7" w:rsidRPr="001C2FBD">
        <w:rPr>
          <w:i/>
        </w:rPr>
        <w:t>Definitions</w:t>
      </w:r>
      <w:r w:rsidR="006448B7">
        <w:t xml:space="preserve">) </w:t>
      </w:r>
    </w:p>
    <w:p w14:paraId="7A3D8E5D" w14:textId="77777777" w:rsidR="00501062" w:rsidRPr="00815441" w:rsidRDefault="00501062" w:rsidP="00501062">
      <w:pPr>
        <w:pStyle w:val="Bullets1"/>
        <w:ind w:left="284" w:hanging="284"/>
      </w:pPr>
      <w:r w:rsidRPr="00815441">
        <w:t>ensuring that the name and position of the Responsible Person in charge of the service is displayed and easily visible from the main entrance of the service</w:t>
      </w:r>
    </w:p>
    <w:p w14:paraId="268B8E75" w14:textId="77777777" w:rsidR="00501062" w:rsidRPr="00815441" w:rsidRDefault="00501062" w:rsidP="00501062">
      <w:pPr>
        <w:pStyle w:val="Bullets1"/>
        <w:ind w:left="284" w:hanging="284"/>
      </w:pPr>
      <w:r w:rsidRPr="00815441">
        <w:t>developing rosters in accordance with the availability of Responsible Persons, hours of operations and the attendance patterns of children</w:t>
      </w:r>
    </w:p>
    <w:p w14:paraId="52E4DDF8" w14:textId="77777777" w:rsidR="00501062" w:rsidRDefault="00501062" w:rsidP="001C2FBD">
      <w:pPr>
        <w:pStyle w:val="Bullets1"/>
        <w:ind w:left="284" w:hanging="284"/>
      </w:pPr>
      <w:r w:rsidRPr="00815441">
        <w:t xml:space="preserve">notifying the Approved Provider and the Regulatory Authority within 7 days of any changes to their personal situation, including a change in mailing address, circumstances that affect their status as </w:t>
      </w:r>
      <w:r w:rsidRPr="00815441">
        <w:lastRenderedPageBreak/>
        <w:t>fit and proper, such as the suspension or cancellation of a Working with Children Check card or teacher registration, or if they are subj</w:t>
      </w:r>
      <w:r w:rsidR="001C2FBD">
        <w:t>ect to disciplinary proceedings</w:t>
      </w:r>
      <w:r w:rsidR="00C618D7">
        <w:t>.</w:t>
      </w:r>
    </w:p>
    <w:p w14:paraId="3124472A" w14:textId="77777777" w:rsidR="00501062" w:rsidRPr="00815441" w:rsidRDefault="00501062" w:rsidP="00501062">
      <w:pPr>
        <w:pStyle w:val="Heading4"/>
        <w:spacing w:before="170"/>
      </w:pPr>
      <w:r w:rsidRPr="00815441">
        <w:t>Certified Supervisors are responsible for:</w:t>
      </w:r>
    </w:p>
    <w:p w14:paraId="57CAE874" w14:textId="77777777" w:rsidR="00501062" w:rsidRPr="00815441" w:rsidRDefault="00501062" w:rsidP="00501062">
      <w:pPr>
        <w:pStyle w:val="Bullets1"/>
        <w:ind w:left="284" w:hanging="284"/>
      </w:pPr>
      <w:r w:rsidRPr="00815441">
        <w:t>providing written consent to accept the role of Certified Supervisor</w:t>
      </w:r>
    </w:p>
    <w:p w14:paraId="1E448DF3" w14:textId="77777777" w:rsidR="00501062" w:rsidRPr="00815441" w:rsidRDefault="00501062" w:rsidP="00501062">
      <w:pPr>
        <w:pStyle w:val="Bullets1"/>
        <w:ind w:left="284" w:hanging="284"/>
      </w:pPr>
      <w:r w:rsidRPr="00815441">
        <w:t xml:space="preserve">checking that the name and position of the Responsible Person </w:t>
      </w:r>
      <w:r w:rsidR="006448B7">
        <w:t xml:space="preserve">(refer to </w:t>
      </w:r>
      <w:r w:rsidR="006448B7" w:rsidRPr="001C2FBD">
        <w:rPr>
          <w:i/>
        </w:rPr>
        <w:t>Definitions)</w:t>
      </w:r>
      <w:r w:rsidR="006448B7">
        <w:t xml:space="preserve"> </w:t>
      </w:r>
      <w:r w:rsidRPr="00815441">
        <w:t>in charge of the service is displayed and easily visible from the main entrance of the service</w:t>
      </w:r>
    </w:p>
    <w:p w14:paraId="470654A8" w14:textId="77777777" w:rsidR="00501062" w:rsidRPr="00815441" w:rsidRDefault="00501062" w:rsidP="00501062">
      <w:pPr>
        <w:pStyle w:val="Bullets1"/>
        <w:ind w:left="284" w:hanging="284"/>
      </w:pPr>
      <w:r w:rsidRPr="00815441">
        <w:t>informing the Approved Provider and/or Nominated Supervisor in the event of absence from the service due to leave or illness so they can be replaced by another Responsible Person</w:t>
      </w:r>
    </w:p>
    <w:p w14:paraId="58EA7F68" w14:textId="77777777" w:rsidR="00501062" w:rsidRPr="00815441" w:rsidRDefault="00501062" w:rsidP="001C2FBD">
      <w:pPr>
        <w:pStyle w:val="Bullets1"/>
        <w:ind w:left="284" w:hanging="284"/>
      </w:pPr>
      <w:r w:rsidRPr="00815441">
        <w:t>ensuring they have a sound understanding of</w:t>
      </w:r>
      <w:r w:rsidR="001C2FBD">
        <w:t xml:space="preserve"> the role of Responsible Person</w:t>
      </w:r>
    </w:p>
    <w:p w14:paraId="37269279" w14:textId="77777777" w:rsidR="00501062" w:rsidRPr="00815441" w:rsidRDefault="00501062" w:rsidP="00501062">
      <w:pPr>
        <w:pStyle w:val="Bullets1"/>
        <w:ind w:left="284" w:hanging="284"/>
      </w:pPr>
      <w:r w:rsidRPr="00815441">
        <w:t xml:space="preserve">understanding that a Certified Supervisor placed in day-to-day charge of an </w:t>
      </w:r>
      <w:r>
        <w:t>a</w:t>
      </w:r>
      <w:r w:rsidRPr="00815441">
        <w:t xml:space="preserve">pproved </w:t>
      </w:r>
      <w:r>
        <w:t>s</w:t>
      </w:r>
      <w:r w:rsidRPr="00815441">
        <w:t xml:space="preserve">ervice </w:t>
      </w:r>
      <w:r w:rsidRPr="00204458">
        <w:rPr>
          <w:b/>
        </w:rPr>
        <w:t>does not</w:t>
      </w:r>
      <w:r w:rsidRPr="00815441">
        <w:t xml:space="preserve"> have the same responsibilities under the National Law as the Nominated Supervisor</w:t>
      </w:r>
    </w:p>
    <w:p w14:paraId="5DCDEFB1" w14:textId="77777777" w:rsidR="00501062" w:rsidRPr="00815441" w:rsidRDefault="00501062" w:rsidP="00501062">
      <w:pPr>
        <w:pStyle w:val="Bullets1"/>
        <w:ind w:left="284" w:hanging="284"/>
      </w:pPr>
      <w:r w:rsidRPr="00815441">
        <w:t>notifying the Approved Provider and the Regulatory Authority within 7 days of any changes to their personal situation, including a change in mailing address, circumstances that affect their status as fit and proper, such as the suspension or cancellation of a Working with Children Check card or teacher registration, or if they are subject to disciplinary proceedings</w:t>
      </w:r>
      <w:r w:rsidR="00C618D7">
        <w:t>.</w:t>
      </w:r>
    </w:p>
    <w:p w14:paraId="40713AEF" w14:textId="77777777" w:rsidR="00501062" w:rsidRPr="00815441" w:rsidRDefault="00501062" w:rsidP="00501062">
      <w:pPr>
        <w:pStyle w:val="Heading4"/>
        <w:spacing w:before="170"/>
      </w:pPr>
      <w:r w:rsidRPr="00815441">
        <w:t>Educators are responsible for:</w:t>
      </w:r>
    </w:p>
    <w:p w14:paraId="52EEB04D" w14:textId="77777777" w:rsidR="00501062" w:rsidRPr="00815441" w:rsidRDefault="00501062" w:rsidP="00501062">
      <w:pPr>
        <w:pStyle w:val="Bullets1"/>
        <w:ind w:left="284" w:hanging="284"/>
      </w:pPr>
      <w:r w:rsidRPr="00815441">
        <w:t xml:space="preserve">meeting the qualifications, experience and management requirements if they wish to </w:t>
      </w:r>
      <w:r w:rsidR="004224EA">
        <w:t xml:space="preserve">be nominated as a Certified </w:t>
      </w:r>
      <w:r w:rsidRPr="00815441">
        <w:t>Supervisor ensuring they have a sound understanding of the role of Responsible Person</w:t>
      </w:r>
      <w:r w:rsidR="006448B7">
        <w:t xml:space="preserve"> (refer to </w:t>
      </w:r>
      <w:r w:rsidR="006448B7" w:rsidRPr="001C2FBD">
        <w:rPr>
          <w:i/>
        </w:rPr>
        <w:t>Definitions</w:t>
      </w:r>
      <w:r w:rsidR="006448B7">
        <w:t>)</w:t>
      </w:r>
    </w:p>
    <w:p w14:paraId="29EE4CC5" w14:textId="77777777" w:rsidR="00501062" w:rsidRPr="00815441" w:rsidRDefault="00501062" w:rsidP="00501062">
      <w:pPr>
        <w:pStyle w:val="Bullets1"/>
        <w:ind w:left="284" w:hanging="284"/>
      </w:pPr>
      <w:r w:rsidRPr="00815441">
        <w:t>providing written consent if accepting the nomination to be a Certified Supervisor.</w:t>
      </w:r>
    </w:p>
    <w:p w14:paraId="3603F064" w14:textId="77777777" w:rsidR="00501062" w:rsidRPr="00815441" w:rsidRDefault="00501062" w:rsidP="00501062">
      <w:pPr>
        <w:pStyle w:val="Heading4"/>
        <w:spacing w:before="170"/>
      </w:pPr>
      <w:r w:rsidRPr="00815441">
        <w:t>Parents/guardians are responsible for:</w:t>
      </w:r>
    </w:p>
    <w:p w14:paraId="502A0977" w14:textId="77777777" w:rsidR="00501062" w:rsidRPr="00815441" w:rsidRDefault="00501062" w:rsidP="00501062">
      <w:pPr>
        <w:pStyle w:val="Bullets1"/>
        <w:ind w:left="284" w:hanging="284"/>
      </w:pPr>
      <w:r w:rsidRPr="00815441">
        <w:t>reading and understanding this policy</w:t>
      </w:r>
    </w:p>
    <w:p w14:paraId="77B9EB99" w14:textId="77777777" w:rsidR="00501062" w:rsidRPr="00815441" w:rsidRDefault="00501062" w:rsidP="00501062">
      <w:pPr>
        <w:pStyle w:val="Bullets1"/>
        <w:ind w:left="284" w:hanging="284"/>
      </w:pPr>
      <w:r w:rsidRPr="00815441">
        <w:t>being aware of the Responsible Person at the service on a daily basis.</w:t>
      </w:r>
    </w:p>
    <w:p w14:paraId="329056D3" w14:textId="77777777" w:rsidR="00501062" w:rsidRPr="00815441" w:rsidRDefault="00501062" w:rsidP="00501062">
      <w:pPr>
        <w:pStyle w:val="Heading4"/>
        <w:spacing w:before="170"/>
      </w:pPr>
      <w:r w:rsidRPr="00815441">
        <w:t xml:space="preserve">Volunteers and students, while at the service, are responsible for following </w:t>
      </w:r>
      <w:r>
        <w:t>this policy and its procedures.</w:t>
      </w:r>
    </w:p>
    <w:p w14:paraId="665FBB6F" w14:textId="77777777" w:rsidR="00501062" w:rsidRPr="00547856" w:rsidRDefault="00501062" w:rsidP="00501062">
      <w:pPr>
        <w:pStyle w:val="Heading1"/>
      </w:pPr>
      <w:r w:rsidRPr="00547856">
        <w:t>Evaluation</w:t>
      </w:r>
    </w:p>
    <w:p w14:paraId="01A688EA" w14:textId="77777777" w:rsidR="00501062" w:rsidRPr="00547856" w:rsidRDefault="00501062" w:rsidP="00501062">
      <w:pPr>
        <w:pStyle w:val="BodyText3ptAfter"/>
      </w:pPr>
      <w:r w:rsidRPr="00547856">
        <w:t>In order to assess whether the values and purposes of the policy have been achieved, the Approved Provider will:</w:t>
      </w:r>
    </w:p>
    <w:p w14:paraId="6CDF2896" w14:textId="77777777" w:rsidR="00501062" w:rsidRPr="00547856" w:rsidRDefault="00501062" w:rsidP="00501062">
      <w:pPr>
        <w:pStyle w:val="Bullets1"/>
        <w:ind w:left="284" w:hanging="284"/>
      </w:pPr>
      <w:r w:rsidRPr="00547856">
        <w:t>regularly seek feedback from everyone affected by the policy regarding its effectiveness</w:t>
      </w:r>
    </w:p>
    <w:p w14:paraId="4824E972" w14:textId="77777777" w:rsidR="00501062" w:rsidRPr="00547856" w:rsidRDefault="00501062" w:rsidP="00501062">
      <w:pPr>
        <w:pStyle w:val="Bullets1"/>
        <w:ind w:left="284" w:hanging="284"/>
      </w:pPr>
      <w:r w:rsidRPr="00547856">
        <w:t>monitor the implementation, compliance, complaints and incidents in relation to this policy</w:t>
      </w:r>
    </w:p>
    <w:p w14:paraId="4B1C8F75" w14:textId="77777777" w:rsidR="00501062" w:rsidRPr="00547856" w:rsidRDefault="00501062" w:rsidP="00501062">
      <w:pPr>
        <w:pStyle w:val="Bullets1"/>
        <w:ind w:left="284" w:hanging="284"/>
      </w:pPr>
      <w:r w:rsidRPr="00547856">
        <w:t>keep the policy up to date with current legislation, research, policy and best practice</w:t>
      </w:r>
    </w:p>
    <w:p w14:paraId="21B85B90" w14:textId="77777777" w:rsidR="00501062" w:rsidRPr="00547856" w:rsidRDefault="00501062" w:rsidP="00501062">
      <w:pPr>
        <w:pStyle w:val="Bullets1"/>
        <w:ind w:left="284" w:hanging="284"/>
      </w:pPr>
      <w:r w:rsidRPr="00547856">
        <w:t>revise the policy and procedures as part of the service’s policy review cycle, or as required</w:t>
      </w:r>
    </w:p>
    <w:p w14:paraId="389D77E8" w14:textId="77777777" w:rsidR="00501062" w:rsidRPr="00547856" w:rsidRDefault="00501062" w:rsidP="00501062">
      <w:pPr>
        <w:pStyle w:val="Bullets1"/>
        <w:ind w:left="284" w:hanging="284"/>
      </w:pPr>
      <w:r w:rsidRPr="00547856">
        <w:t>notify parents/guardians at least 14 days before making any changes to this policy or its procedures.</w:t>
      </w:r>
    </w:p>
    <w:p w14:paraId="0C0DDBE5" w14:textId="77777777" w:rsidR="00501062" w:rsidRPr="00547856" w:rsidRDefault="00501062" w:rsidP="00501062">
      <w:pPr>
        <w:pStyle w:val="Heading1"/>
      </w:pPr>
      <w:r w:rsidRPr="00547856">
        <w:t>Attachments</w:t>
      </w:r>
    </w:p>
    <w:p w14:paraId="0AB9A727" w14:textId="77777777" w:rsidR="00501062" w:rsidRPr="00547856" w:rsidRDefault="00501062" w:rsidP="00501062">
      <w:pPr>
        <w:pStyle w:val="BodyText"/>
      </w:pPr>
      <w:r w:rsidRPr="00547856">
        <w:t>Nil</w:t>
      </w:r>
    </w:p>
    <w:p w14:paraId="0F4E372C" w14:textId="77777777" w:rsidR="00501062" w:rsidRPr="00547856" w:rsidRDefault="00501062" w:rsidP="00501062">
      <w:pPr>
        <w:pStyle w:val="Heading1"/>
      </w:pPr>
      <w:r w:rsidRPr="00547856">
        <w:t>Authorisation</w:t>
      </w:r>
    </w:p>
    <w:p w14:paraId="291561E1" w14:textId="28B17174" w:rsidR="007B6D95" w:rsidRDefault="00501062" w:rsidP="00501062">
      <w:pPr>
        <w:pStyle w:val="BodyText"/>
      </w:pPr>
      <w:r w:rsidRPr="00547856">
        <w:t>Th</w:t>
      </w:r>
      <w:r>
        <w:t>is</w:t>
      </w:r>
      <w:r w:rsidRPr="00547856">
        <w:t xml:space="preserve"> policy was adopted by the Approved Provider of </w:t>
      </w:r>
      <w:r w:rsidR="002226A0">
        <w:fldChar w:fldCharType="begin"/>
      </w:r>
      <w:r w:rsidR="002226A0">
        <w:instrText xml:space="preserve"> DOCPROPERTY  Company  \* MERGEFORMAT </w:instrText>
      </w:r>
      <w:r w:rsidR="002226A0">
        <w:fldChar w:fldCharType="separate"/>
      </w:r>
      <w:r w:rsidR="00993F02">
        <w:t xml:space="preserve">Box Hill North Primary School Kindergarten </w:t>
      </w:r>
      <w:r w:rsidR="002226A0">
        <w:fldChar w:fldCharType="end"/>
      </w:r>
      <w:r w:rsidRPr="00547856">
        <w:t xml:space="preserve"> on </w:t>
      </w:r>
      <w:r w:rsidR="00854EB8">
        <w:t>August 2017</w:t>
      </w:r>
      <w:r w:rsidRPr="00547856">
        <w:t>.</w:t>
      </w:r>
      <w:bookmarkStart w:id="0" w:name="_GoBack"/>
      <w:bookmarkEnd w:id="0"/>
    </w:p>
    <w:p w14:paraId="4DF81B7F" w14:textId="5BA93462" w:rsidR="007B6D95" w:rsidRPr="00547856" w:rsidRDefault="007B6D95" w:rsidP="00501062">
      <w:pPr>
        <w:pStyle w:val="BodyText"/>
      </w:pPr>
      <w:r>
        <w:t>This policy was review in August 2022</w:t>
      </w:r>
    </w:p>
    <w:p w14:paraId="1A9D2AA9" w14:textId="109445E5" w:rsidR="00501062" w:rsidRPr="00547856" w:rsidRDefault="00501062" w:rsidP="00501062">
      <w:pPr>
        <w:pStyle w:val="Heading1"/>
      </w:pPr>
      <w:r w:rsidRPr="00547856">
        <w:t xml:space="preserve">Review date:    </w:t>
      </w:r>
      <w:r w:rsidR="007B6D95">
        <w:rPr>
          <w:b w:val="0"/>
        </w:rPr>
        <w:t>August 2025</w:t>
      </w:r>
    </w:p>
    <w:sectPr w:rsidR="00501062" w:rsidRPr="00547856" w:rsidSect="006C224E">
      <w:footerReference w:type="default" r:id="rId16"/>
      <w:pgSz w:w="11906" w:h="16838" w:code="9"/>
      <w:pgMar w:top="1134" w:right="1418" w:bottom="1418"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E26A5" w14:textId="77777777" w:rsidR="002226A0" w:rsidRDefault="002226A0" w:rsidP="00501062">
      <w:pPr>
        <w:spacing w:after="0"/>
      </w:pPr>
      <w:r>
        <w:separator/>
      </w:r>
    </w:p>
  </w:endnote>
  <w:endnote w:type="continuationSeparator" w:id="0">
    <w:p w14:paraId="6BC4A81B" w14:textId="77777777" w:rsidR="002226A0" w:rsidRDefault="002226A0" w:rsidP="005010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34"/>
      <w:gridCol w:w="4536"/>
    </w:tblGrid>
    <w:tr w:rsidR="00F65124" w:rsidRPr="00973C50" w14:paraId="67800052" w14:textId="77777777" w:rsidTr="00F65124">
      <w:tc>
        <w:tcPr>
          <w:tcW w:w="4643" w:type="dxa"/>
          <w:shd w:val="clear" w:color="auto" w:fill="auto"/>
        </w:tcPr>
        <w:p w14:paraId="3328D7BA" w14:textId="77777777" w:rsidR="00F65124" w:rsidRPr="00973C50" w:rsidRDefault="00683288" w:rsidP="00F65124">
          <w:pPr>
            <w:pStyle w:val="Footer"/>
          </w:pPr>
          <w:r w:rsidRPr="00973C50">
            <w:t xml:space="preserve">© </w:t>
          </w:r>
          <w:r w:rsidR="006506D0">
            <w:t>2015</w:t>
          </w:r>
          <w:r>
            <w:t xml:space="preserve"> Early Learning Association Australia</w:t>
          </w:r>
        </w:p>
        <w:p w14:paraId="40E8D0F7" w14:textId="77777777" w:rsidR="00F65124" w:rsidRPr="00973C50" w:rsidRDefault="00683288" w:rsidP="00F65124">
          <w:pPr>
            <w:pStyle w:val="Footer"/>
          </w:pPr>
          <w:r w:rsidRPr="00973C50">
            <w:t>Telephone 03 9489 3500 or 1300 730 119 (rural)</w:t>
          </w:r>
        </w:p>
      </w:tc>
      <w:tc>
        <w:tcPr>
          <w:tcW w:w="4643" w:type="dxa"/>
          <w:shd w:val="clear" w:color="auto" w:fill="auto"/>
        </w:tcPr>
        <w:p w14:paraId="3EA557C4" w14:textId="47708559" w:rsidR="00F65124" w:rsidRPr="0096702A" w:rsidRDefault="00C14432" w:rsidP="00F65124">
          <w:pPr>
            <w:pStyle w:val="Footer"/>
            <w:jc w:val="right"/>
          </w:pPr>
          <w:r>
            <w:rPr>
              <w:bCs/>
              <w:noProof/>
              <w:lang w:val="en-US"/>
            </w:rPr>
            <w:fldChar w:fldCharType="begin"/>
          </w:r>
          <w:r>
            <w:rPr>
              <w:bCs/>
              <w:noProof/>
              <w:lang w:val="en-US"/>
            </w:rPr>
            <w:instrText xml:space="preserve"> STYLEREF  Title  \* MERGEFORMAT </w:instrText>
          </w:r>
          <w:r>
            <w:rPr>
              <w:bCs/>
              <w:noProof/>
              <w:lang w:val="en-US"/>
            </w:rPr>
            <w:fldChar w:fldCharType="separate"/>
          </w:r>
          <w:r w:rsidR="007B6D95">
            <w:rPr>
              <w:bCs/>
              <w:noProof/>
              <w:lang w:val="en-US"/>
            </w:rPr>
            <w:t>Determining Responsible</w:t>
          </w:r>
          <w:r w:rsidR="007B6D95" w:rsidRPr="007B6D95">
            <w:rPr>
              <w:noProof/>
            </w:rPr>
            <w:t xml:space="preserve"> Person Policy</w:t>
          </w:r>
          <w:r>
            <w:rPr>
              <w:noProof/>
            </w:rPr>
            <w:fldChar w:fldCharType="end"/>
          </w:r>
          <w:r w:rsidR="00683288">
            <w:rPr>
              <w:bCs/>
              <w:noProof/>
              <w:lang w:val="en-US"/>
            </w:rPr>
            <w:t xml:space="preserve"> (</w:t>
          </w:r>
          <w:r w:rsidR="008616B8">
            <w:rPr>
              <w:bCs/>
              <w:noProof/>
              <w:lang w:val="en-US"/>
            </w:rPr>
            <w:t>Version 4</w:t>
          </w:r>
          <w:r w:rsidR="00683288">
            <w:rPr>
              <w:bCs/>
              <w:noProof/>
              <w:lang w:val="en-US"/>
            </w:rPr>
            <w:t>)</w:t>
          </w:r>
        </w:p>
        <w:p w14:paraId="6824D158" w14:textId="77777777" w:rsidR="00F65124" w:rsidRPr="00973C50" w:rsidRDefault="00683288" w:rsidP="00F65124">
          <w:pPr>
            <w:pStyle w:val="Footer"/>
            <w:jc w:val="right"/>
          </w:pPr>
          <w:r w:rsidRPr="00973C50">
            <w:t xml:space="preserve">Page </w:t>
          </w:r>
          <w:r w:rsidRPr="00973C50">
            <w:fldChar w:fldCharType="begin"/>
          </w:r>
          <w:r w:rsidRPr="00973C50">
            <w:instrText xml:space="preserve"> PAGE </w:instrText>
          </w:r>
          <w:r w:rsidRPr="00973C50">
            <w:fldChar w:fldCharType="separate"/>
          </w:r>
          <w:r w:rsidR="00854EB8">
            <w:rPr>
              <w:noProof/>
            </w:rPr>
            <w:t>5</w:t>
          </w:r>
          <w:r w:rsidRPr="00973C50">
            <w:rPr>
              <w:noProof/>
            </w:rPr>
            <w:fldChar w:fldCharType="end"/>
          </w:r>
          <w:r w:rsidRPr="00973C50">
            <w:t xml:space="preserve"> of </w:t>
          </w:r>
          <w:r w:rsidR="00C14432">
            <w:rPr>
              <w:noProof/>
            </w:rPr>
            <w:fldChar w:fldCharType="begin"/>
          </w:r>
          <w:r w:rsidR="00C14432">
            <w:rPr>
              <w:noProof/>
            </w:rPr>
            <w:instrText xml:space="preserve"> NUMPAGES  </w:instrText>
          </w:r>
          <w:r w:rsidR="00C14432">
            <w:rPr>
              <w:noProof/>
            </w:rPr>
            <w:fldChar w:fldCharType="separate"/>
          </w:r>
          <w:r w:rsidR="00854EB8">
            <w:rPr>
              <w:noProof/>
            </w:rPr>
            <w:t>5</w:t>
          </w:r>
          <w:r w:rsidR="00C14432">
            <w:rPr>
              <w:noProof/>
            </w:rPr>
            <w:fldChar w:fldCharType="end"/>
          </w:r>
        </w:p>
      </w:tc>
    </w:tr>
  </w:tbl>
  <w:p w14:paraId="34994473" w14:textId="77777777" w:rsidR="00F65124" w:rsidRPr="00A25BD5" w:rsidRDefault="00F65124" w:rsidP="00F65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2CBE6" w14:textId="77777777" w:rsidR="002226A0" w:rsidRDefault="002226A0" w:rsidP="00501062">
      <w:pPr>
        <w:spacing w:after="0"/>
      </w:pPr>
      <w:r>
        <w:separator/>
      </w:r>
    </w:p>
  </w:footnote>
  <w:footnote w:type="continuationSeparator" w:id="0">
    <w:p w14:paraId="01201ED0" w14:textId="77777777" w:rsidR="002226A0" w:rsidRDefault="002226A0" w:rsidP="00501062">
      <w:pPr>
        <w:spacing w:after="0"/>
      </w:pPr>
      <w:r>
        <w:continuationSeparator/>
      </w:r>
    </w:p>
  </w:footnote>
  <w:footnote w:id="1">
    <w:p w14:paraId="0F44EEA2" w14:textId="77777777" w:rsidR="00501062" w:rsidRPr="00542CE1" w:rsidRDefault="00501062" w:rsidP="00501062">
      <w:pPr>
        <w:pStyle w:val="FootnoteText"/>
        <w:rPr>
          <w:sz w:val="16"/>
          <w:szCs w:val="16"/>
        </w:rPr>
      </w:pPr>
      <w:r>
        <w:rPr>
          <w:rStyle w:val="FootnoteReference"/>
        </w:rPr>
        <w:footnoteRef/>
      </w:r>
      <w:r>
        <w:t xml:space="preserve"> </w:t>
      </w:r>
      <w:r w:rsidRPr="00542CE1">
        <w:rPr>
          <w:sz w:val="16"/>
          <w:szCs w:val="16"/>
        </w:rPr>
        <w:t>The guidelines to the National Regulations state that, given the Responsible Person in charge may change throughout the day (for example, at a changeover of shifts), this requirement might be met on a whiteboard or interchangeable name plate at the entrance of the service premises.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30290"/>
    <w:multiLevelType w:val="hybridMultilevel"/>
    <w:tmpl w:val="DCD094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861CC5"/>
    <w:multiLevelType w:val="hybridMultilevel"/>
    <w:tmpl w:val="B70A77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FCD2F7E"/>
    <w:multiLevelType w:val="hybridMultilevel"/>
    <w:tmpl w:val="4976B190"/>
    <w:lvl w:ilvl="0" w:tplc="0C090001">
      <w:start w:val="1"/>
      <w:numFmt w:val="bullet"/>
      <w:lvlText w:val=""/>
      <w:lvlJc w:val="left"/>
      <w:pPr>
        <w:ind w:left="380" w:hanging="360"/>
      </w:pPr>
      <w:rPr>
        <w:rFonts w:ascii="Symbol" w:hAnsi="Symbol" w:hint="default"/>
      </w:rPr>
    </w:lvl>
    <w:lvl w:ilvl="1" w:tplc="0C090003">
      <w:start w:val="1"/>
      <w:numFmt w:val="bullet"/>
      <w:lvlText w:val="o"/>
      <w:lvlJc w:val="left"/>
      <w:pPr>
        <w:ind w:left="1100" w:hanging="360"/>
      </w:pPr>
      <w:rPr>
        <w:rFonts w:ascii="Courier New" w:hAnsi="Courier New" w:cs="Courier New" w:hint="default"/>
      </w:rPr>
    </w:lvl>
    <w:lvl w:ilvl="2" w:tplc="0C090005">
      <w:start w:val="1"/>
      <w:numFmt w:val="bullet"/>
      <w:lvlText w:val=""/>
      <w:lvlJc w:val="left"/>
      <w:pPr>
        <w:ind w:left="1820" w:hanging="360"/>
      </w:pPr>
      <w:rPr>
        <w:rFonts w:ascii="Wingdings" w:hAnsi="Wingdings" w:hint="default"/>
      </w:rPr>
    </w:lvl>
    <w:lvl w:ilvl="3" w:tplc="0C090001">
      <w:start w:val="1"/>
      <w:numFmt w:val="bullet"/>
      <w:lvlText w:val=""/>
      <w:lvlJc w:val="left"/>
      <w:pPr>
        <w:ind w:left="2540" w:hanging="360"/>
      </w:pPr>
      <w:rPr>
        <w:rFonts w:ascii="Symbol" w:hAnsi="Symbol" w:hint="default"/>
      </w:rPr>
    </w:lvl>
    <w:lvl w:ilvl="4" w:tplc="0C090003">
      <w:start w:val="1"/>
      <w:numFmt w:val="bullet"/>
      <w:lvlText w:val="o"/>
      <w:lvlJc w:val="left"/>
      <w:pPr>
        <w:ind w:left="3260" w:hanging="360"/>
      </w:pPr>
      <w:rPr>
        <w:rFonts w:ascii="Courier New" w:hAnsi="Courier New" w:cs="Courier New" w:hint="default"/>
      </w:rPr>
    </w:lvl>
    <w:lvl w:ilvl="5" w:tplc="0C090005" w:tentative="1">
      <w:start w:val="1"/>
      <w:numFmt w:val="bullet"/>
      <w:lvlText w:val=""/>
      <w:lvlJc w:val="left"/>
      <w:pPr>
        <w:ind w:left="3980" w:hanging="360"/>
      </w:pPr>
      <w:rPr>
        <w:rFonts w:ascii="Wingdings" w:hAnsi="Wingdings" w:hint="default"/>
      </w:rPr>
    </w:lvl>
    <w:lvl w:ilvl="6" w:tplc="0C090001" w:tentative="1">
      <w:start w:val="1"/>
      <w:numFmt w:val="bullet"/>
      <w:lvlText w:val=""/>
      <w:lvlJc w:val="left"/>
      <w:pPr>
        <w:ind w:left="4700" w:hanging="360"/>
      </w:pPr>
      <w:rPr>
        <w:rFonts w:ascii="Symbol" w:hAnsi="Symbol" w:hint="default"/>
      </w:rPr>
    </w:lvl>
    <w:lvl w:ilvl="7" w:tplc="0C090003" w:tentative="1">
      <w:start w:val="1"/>
      <w:numFmt w:val="bullet"/>
      <w:lvlText w:val="o"/>
      <w:lvlJc w:val="left"/>
      <w:pPr>
        <w:ind w:left="5420" w:hanging="360"/>
      </w:pPr>
      <w:rPr>
        <w:rFonts w:ascii="Courier New" w:hAnsi="Courier New" w:cs="Courier New" w:hint="default"/>
      </w:rPr>
    </w:lvl>
    <w:lvl w:ilvl="8" w:tplc="0C090005" w:tentative="1">
      <w:start w:val="1"/>
      <w:numFmt w:val="bullet"/>
      <w:lvlText w:val=""/>
      <w:lvlJc w:val="left"/>
      <w:pPr>
        <w:ind w:left="6140" w:hanging="360"/>
      </w:pPr>
      <w:rPr>
        <w:rFonts w:ascii="Wingdings" w:hAnsi="Wingdings" w:hint="default"/>
      </w:rPr>
    </w:lvl>
  </w:abstractNum>
  <w:abstractNum w:abstractNumId="4" w15:restartNumberingAfterBreak="0">
    <w:nsid w:val="72B72B7B"/>
    <w:multiLevelType w:val="hybridMultilevel"/>
    <w:tmpl w:val="85860136"/>
    <w:lvl w:ilvl="0" w:tplc="5790AAAA">
      <w:start w:val="1"/>
      <w:numFmt w:val="decimal"/>
      <w:pStyle w:val="Heading2"/>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5" w15:restartNumberingAfterBreak="0">
    <w:nsid w:val="7FD31B51"/>
    <w:multiLevelType w:val="hybridMultilevel"/>
    <w:tmpl w:val="3FD67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F02"/>
    <w:rsid w:val="00095008"/>
    <w:rsid w:val="000D0BBE"/>
    <w:rsid w:val="000D1611"/>
    <w:rsid w:val="000D4CA7"/>
    <w:rsid w:val="001026C3"/>
    <w:rsid w:val="001132C1"/>
    <w:rsid w:val="00167F5C"/>
    <w:rsid w:val="001A6DA9"/>
    <w:rsid w:val="001B2A36"/>
    <w:rsid w:val="001C2FBD"/>
    <w:rsid w:val="00211A85"/>
    <w:rsid w:val="00220B92"/>
    <w:rsid w:val="002226A0"/>
    <w:rsid w:val="00284753"/>
    <w:rsid w:val="002A3D28"/>
    <w:rsid w:val="002C7F1D"/>
    <w:rsid w:val="00332069"/>
    <w:rsid w:val="00361310"/>
    <w:rsid w:val="00370AB5"/>
    <w:rsid w:val="003921BD"/>
    <w:rsid w:val="003B0013"/>
    <w:rsid w:val="003B2C4B"/>
    <w:rsid w:val="003B482F"/>
    <w:rsid w:val="003C18B9"/>
    <w:rsid w:val="004224EA"/>
    <w:rsid w:val="0044519C"/>
    <w:rsid w:val="004815F8"/>
    <w:rsid w:val="00501062"/>
    <w:rsid w:val="005064C8"/>
    <w:rsid w:val="00507176"/>
    <w:rsid w:val="00542CE1"/>
    <w:rsid w:val="00590F3B"/>
    <w:rsid w:val="005E1264"/>
    <w:rsid w:val="0061506B"/>
    <w:rsid w:val="00631B1C"/>
    <w:rsid w:val="00640AB8"/>
    <w:rsid w:val="006448B7"/>
    <w:rsid w:val="006506D0"/>
    <w:rsid w:val="00657522"/>
    <w:rsid w:val="00670063"/>
    <w:rsid w:val="00683288"/>
    <w:rsid w:val="006A7605"/>
    <w:rsid w:val="006C224E"/>
    <w:rsid w:val="006D3995"/>
    <w:rsid w:val="006E3DB0"/>
    <w:rsid w:val="00733996"/>
    <w:rsid w:val="0073436E"/>
    <w:rsid w:val="007518A9"/>
    <w:rsid w:val="0075609C"/>
    <w:rsid w:val="00762862"/>
    <w:rsid w:val="00783360"/>
    <w:rsid w:val="007A713A"/>
    <w:rsid w:val="007B2446"/>
    <w:rsid w:val="007B6D95"/>
    <w:rsid w:val="00800435"/>
    <w:rsid w:val="00827F0C"/>
    <w:rsid w:val="00854EB8"/>
    <w:rsid w:val="008616B8"/>
    <w:rsid w:val="00885427"/>
    <w:rsid w:val="008923B6"/>
    <w:rsid w:val="008A44A1"/>
    <w:rsid w:val="008D2562"/>
    <w:rsid w:val="008E665F"/>
    <w:rsid w:val="00945A57"/>
    <w:rsid w:val="00961018"/>
    <w:rsid w:val="00993F02"/>
    <w:rsid w:val="009A3C84"/>
    <w:rsid w:val="009F340D"/>
    <w:rsid w:val="00A264BC"/>
    <w:rsid w:val="00A51FB7"/>
    <w:rsid w:val="00A915BD"/>
    <w:rsid w:val="00AE35CC"/>
    <w:rsid w:val="00AE3C5F"/>
    <w:rsid w:val="00B92D3D"/>
    <w:rsid w:val="00BF7514"/>
    <w:rsid w:val="00C14432"/>
    <w:rsid w:val="00C22398"/>
    <w:rsid w:val="00C354FB"/>
    <w:rsid w:val="00C618D7"/>
    <w:rsid w:val="00C72F37"/>
    <w:rsid w:val="00CD1FF4"/>
    <w:rsid w:val="00D4313C"/>
    <w:rsid w:val="00D7647A"/>
    <w:rsid w:val="00DC6EA9"/>
    <w:rsid w:val="00DC6F36"/>
    <w:rsid w:val="00E06012"/>
    <w:rsid w:val="00E16723"/>
    <w:rsid w:val="00E43FF7"/>
    <w:rsid w:val="00E87AA7"/>
    <w:rsid w:val="00EA679C"/>
    <w:rsid w:val="00EF7AA9"/>
    <w:rsid w:val="00F027EF"/>
    <w:rsid w:val="00F272CF"/>
    <w:rsid w:val="00F65124"/>
    <w:rsid w:val="00F8539E"/>
    <w:rsid w:val="00F8588C"/>
    <w:rsid w:val="00FA042E"/>
    <w:rsid w:val="00FC354B"/>
    <w:rsid w:val="00FD7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C6D3"/>
  <w15:chartTrackingRefBased/>
  <w15:docId w15:val="{13303E53-E47F-483F-B7E0-62D93162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062"/>
    <w:pPr>
      <w:spacing w:after="170"/>
    </w:pPr>
    <w:rPr>
      <w:rFonts w:ascii="Arial" w:eastAsia="Arial" w:hAnsi="Arial"/>
      <w:sz w:val="19"/>
      <w:szCs w:val="19"/>
      <w:lang w:eastAsia="en-US"/>
    </w:rPr>
  </w:style>
  <w:style w:type="paragraph" w:styleId="Heading1">
    <w:name w:val="heading 1"/>
    <w:next w:val="BodyText"/>
    <w:link w:val="Heading1Char"/>
    <w:qFormat/>
    <w:rsid w:val="00501062"/>
    <w:pPr>
      <w:keepNext/>
      <w:keepLines/>
      <w:spacing w:before="360" w:after="100" w:line="280" w:lineRule="atLeast"/>
      <w:outlineLvl w:val="0"/>
    </w:pPr>
    <w:rPr>
      <w:rFonts w:ascii="Arial" w:eastAsia="Times New Roman" w:hAnsi="Arial" w:cs="Arial"/>
      <w:b/>
      <w:bCs/>
      <w:caps/>
      <w:color w:val="000000"/>
      <w:sz w:val="24"/>
      <w:szCs w:val="24"/>
    </w:rPr>
  </w:style>
  <w:style w:type="paragraph" w:styleId="Heading2">
    <w:name w:val="heading 2"/>
    <w:next w:val="BodyText"/>
    <w:link w:val="Heading2Char"/>
    <w:qFormat/>
    <w:rsid w:val="00501062"/>
    <w:pPr>
      <w:keepNext/>
      <w:numPr>
        <w:numId w:val="2"/>
      </w:numPr>
      <w:spacing w:before="200" w:after="60"/>
      <w:ind w:left="284" w:hanging="284"/>
      <w:outlineLvl w:val="1"/>
    </w:pPr>
    <w:rPr>
      <w:rFonts w:ascii="Arial" w:eastAsia="Times New Roman" w:hAnsi="Arial" w:cs="Arial"/>
      <w:b/>
      <w:bCs/>
      <w:caps/>
      <w:color w:val="000000"/>
      <w:sz w:val="22"/>
      <w:szCs w:val="22"/>
    </w:rPr>
  </w:style>
  <w:style w:type="paragraph" w:styleId="Heading4">
    <w:name w:val="heading 4"/>
    <w:next w:val="BodyText"/>
    <w:link w:val="Heading4Char"/>
    <w:qFormat/>
    <w:rsid w:val="00501062"/>
    <w:pPr>
      <w:keepNext/>
      <w:spacing w:before="140" w:after="60" w:line="230" w:lineRule="atLeast"/>
      <w:outlineLvl w:val="3"/>
    </w:pPr>
    <w:rPr>
      <w:rFonts w:ascii="Arial" w:eastAsia="Times New Roman" w:hAnsi="Arial" w:cs="Arial"/>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1062"/>
    <w:rPr>
      <w:rFonts w:ascii="Arial" w:eastAsia="Times New Roman" w:hAnsi="Arial" w:cs="Arial"/>
      <w:b/>
      <w:bCs/>
      <w:caps/>
      <w:color w:val="000000"/>
      <w:sz w:val="24"/>
      <w:szCs w:val="24"/>
      <w:lang w:eastAsia="en-AU"/>
    </w:rPr>
  </w:style>
  <w:style w:type="character" w:customStyle="1" w:styleId="Heading2Char">
    <w:name w:val="Heading 2 Char"/>
    <w:link w:val="Heading2"/>
    <w:rsid w:val="00501062"/>
    <w:rPr>
      <w:rFonts w:ascii="Arial" w:eastAsia="Times New Roman" w:hAnsi="Arial" w:cs="Arial"/>
      <w:b/>
      <w:bCs/>
      <w:caps/>
      <w:color w:val="000000"/>
      <w:lang w:eastAsia="en-AU"/>
    </w:rPr>
  </w:style>
  <w:style w:type="character" w:customStyle="1" w:styleId="Heading4Char">
    <w:name w:val="Heading 4 Char"/>
    <w:link w:val="Heading4"/>
    <w:rsid w:val="00501062"/>
    <w:rPr>
      <w:rFonts w:ascii="Arial" w:eastAsia="Times New Roman" w:hAnsi="Arial" w:cs="Arial"/>
      <w:b/>
      <w:bCs/>
      <w:color w:val="000000"/>
      <w:sz w:val="20"/>
      <w:szCs w:val="19"/>
      <w:lang w:eastAsia="en-AU"/>
    </w:rPr>
  </w:style>
  <w:style w:type="paragraph" w:styleId="Title">
    <w:name w:val="Title"/>
    <w:next w:val="Normal"/>
    <w:link w:val="TitleChar"/>
    <w:uiPriority w:val="1"/>
    <w:qFormat/>
    <w:rsid w:val="00501062"/>
    <w:pPr>
      <w:pBdr>
        <w:bottom w:val="single" w:sz="4" w:space="1" w:color="auto"/>
      </w:pBdr>
      <w:spacing w:after="60" w:line="320" w:lineRule="atLeast"/>
    </w:pPr>
    <w:rPr>
      <w:rFonts w:ascii="Arial" w:eastAsia="Times New Roman" w:hAnsi="Arial" w:cs="Arial"/>
      <w:b/>
      <w:bCs/>
      <w:caps/>
      <w:color w:val="000000"/>
      <w:sz w:val="28"/>
      <w:szCs w:val="28"/>
      <w:lang w:eastAsia="en-US"/>
    </w:rPr>
  </w:style>
  <w:style w:type="character" w:customStyle="1" w:styleId="TitleChar">
    <w:name w:val="Title Char"/>
    <w:link w:val="Title"/>
    <w:uiPriority w:val="1"/>
    <w:rsid w:val="00501062"/>
    <w:rPr>
      <w:rFonts w:ascii="Arial" w:eastAsia="Times New Roman" w:hAnsi="Arial" w:cs="Arial"/>
      <w:b/>
      <w:bCs/>
      <w:caps/>
      <w:color w:val="000000"/>
      <w:sz w:val="28"/>
      <w:szCs w:val="28"/>
    </w:rPr>
  </w:style>
  <w:style w:type="paragraph" w:customStyle="1" w:styleId="Bullets2">
    <w:name w:val="Bullets 2"/>
    <w:qFormat/>
    <w:rsid w:val="00501062"/>
    <w:pPr>
      <w:numPr>
        <w:ilvl w:val="1"/>
        <w:numId w:val="1"/>
      </w:numPr>
      <w:spacing w:after="60" w:line="260" w:lineRule="atLeast"/>
    </w:pPr>
    <w:rPr>
      <w:rFonts w:ascii="Arial" w:eastAsia="Arial" w:hAnsi="Arial"/>
      <w:szCs w:val="19"/>
    </w:rPr>
  </w:style>
  <w:style w:type="paragraph" w:styleId="BodyText">
    <w:name w:val="Body Text"/>
    <w:link w:val="BodyTextChar"/>
    <w:qFormat/>
    <w:rsid w:val="00501062"/>
    <w:pPr>
      <w:spacing w:before="60" w:after="170" w:line="260" w:lineRule="atLeast"/>
    </w:pPr>
    <w:rPr>
      <w:rFonts w:ascii="Arial" w:eastAsia="Arial" w:hAnsi="Arial"/>
      <w:szCs w:val="19"/>
    </w:rPr>
  </w:style>
  <w:style w:type="character" w:customStyle="1" w:styleId="BodyTextChar">
    <w:name w:val="Body Text Char"/>
    <w:link w:val="BodyText"/>
    <w:rsid w:val="00501062"/>
    <w:rPr>
      <w:rFonts w:ascii="Arial" w:eastAsia="Arial" w:hAnsi="Arial" w:cs="Times New Roman"/>
      <w:sz w:val="20"/>
      <w:szCs w:val="19"/>
      <w:lang w:eastAsia="en-AU"/>
    </w:rPr>
  </w:style>
  <w:style w:type="paragraph" w:customStyle="1" w:styleId="Bullets1">
    <w:name w:val="Bullets 1"/>
    <w:qFormat/>
    <w:rsid w:val="00501062"/>
    <w:pPr>
      <w:numPr>
        <w:numId w:val="1"/>
      </w:numPr>
      <w:spacing w:after="60" w:line="260" w:lineRule="atLeast"/>
    </w:pPr>
    <w:rPr>
      <w:rFonts w:ascii="Arial" w:eastAsia="Arial" w:hAnsi="Arial"/>
      <w:szCs w:val="19"/>
    </w:rPr>
  </w:style>
  <w:style w:type="paragraph" w:styleId="Footer">
    <w:name w:val="footer"/>
    <w:basedOn w:val="Normal"/>
    <w:link w:val="FooterChar"/>
    <w:uiPriority w:val="99"/>
    <w:semiHidden/>
    <w:rsid w:val="00501062"/>
    <w:pPr>
      <w:tabs>
        <w:tab w:val="center" w:pos="4513"/>
        <w:tab w:val="right" w:pos="9026"/>
      </w:tabs>
      <w:spacing w:after="0"/>
    </w:pPr>
    <w:rPr>
      <w:rFonts w:cs="Arial"/>
      <w:sz w:val="16"/>
      <w:szCs w:val="16"/>
    </w:rPr>
  </w:style>
  <w:style w:type="character" w:customStyle="1" w:styleId="FooterChar">
    <w:name w:val="Footer Char"/>
    <w:link w:val="Footer"/>
    <w:uiPriority w:val="99"/>
    <w:semiHidden/>
    <w:rsid w:val="00501062"/>
    <w:rPr>
      <w:rFonts w:ascii="Arial" w:eastAsia="Arial" w:hAnsi="Arial" w:cs="Arial"/>
      <w:sz w:val="16"/>
      <w:szCs w:val="16"/>
    </w:rPr>
  </w:style>
  <w:style w:type="paragraph" w:customStyle="1" w:styleId="Mandatory">
    <w:name w:val="Mandatory"/>
    <w:qFormat/>
    <w:rsid w:val="00501062"/>
    <w:pPr>
      <w:spacing w:after="720" w:line="230" w:lineRule="atLeast"/>
    </w:pPr>
    <w:rPr>
      <w:rFonts w:ascii="Arial" w:eastAsia="Times New Roman" w:hAnsi="Arial" w:cs="Arial"/>
      <w:b/>
      <w:bCs/>
      <w:color w:val="000000"/>
      <w:sz w:val="19"/>
      <w:szCs w:val="19"/>
    </w:rPr>
  </w:style>
  <w:style w:type="paragraph" w:customStyle="1" w:styleId="Bullets3">
    <w:name w:val="Bullets 3"/>
    <w:qFormat/>
    <w:rsid w:val="00501062"/>
    <w:pPr>
      <w:numPr>
        <w:ilvl w:val="2"/>
        <w:numId w:val="1"/>
      </w:numPr>
      <w:spacing w:after="60" w:line="260" w:lineRule="atLeast"/>
      <w:ind w:left="681" w:hanging="227"/>
    </w:pPr>
    <w:rPr>
      <w:rFonts w:ascii="Arial" w:eastAsia="Arial" w:hAnsi="Arial"/>
      <w:szCs w:val="19"/>
    </w:rPr>
  </w:style>
  <w:style w:type="paragraph" w:customStyle="1" w:styleId="BodyText3ptAfter">
    <w:name w:val="Body Text 3pt After"/>
    <w:basedOn w:val="BodyText"/>
    <w:qFormat/>
    <w:rsid w:val="00501062"/>
    <w:pPr>
      <w:spacing w:after="60"/>
    </w:pPr>
  </w:style>
  <w:style w:type="character" w:styleId="Hyperlink">
    <w:name w:val="Hyperlink"/>
    <w:unhideWhenUsed/>
    <w:rsid w:val="00501062"/>
    <w:rPr>
      <w:color w:val="0000FF"/>
      <w:u w:val="single"/>
    </w:rPr>
  </w:style>
  <w:style w:type="paragraph" w:styleId="FootnoteText">
    <w:name w:val="footnote text"/>
    <w:basedOn w:val="Normal"/>
    <w:link w:val="FootnoteTextChar"/>
    <w:uiPriority w:val="99"/>
    <w:rsid w:val="00501062"/>
    <w:pPr>
      <w:spacing w:after="0"/>
      <w:ind w:left="142" w:hanging="142"/>
    </w:pPr>
    <w:rPr>
      <w:rFonts w:eastAsia="Times New Roman"/>
      <w:snapToGrid w:val="0"/>
      <w:sz w:val="20"/>
      <w:szCs w:val="20"/>
    </w:rPr>
  </w:style>
  <w:style w:type="character" w:customStyle="1" w:styleId="FootnoteTextChar">
    <w:name w:val="Footnote Text Char"/>
    <w:link w:val="FootnoteText"/>
    <w:uiPriority w:val="99"/>
    <w:rsid w:val="00501062"/>
    <w:rPr>
      <w:rFonts w:ascii="Arial" w:eastAsia="Times New Roman" w:hAnsi="Arial" w:cs="Times New Roman"/>
      <w:snapToGrid w:val="0"/>
      <w:sz w:val="20"/>
      <w:szCs w:val="20"/>
    </w:rPr>
  </w:style>
  <w:style w:type="character" w:styleId="FootnoteReference">
    <w:name w:val="footnote reference"/>
    <w:uiPriority w:val="99"/>
    <w:rsid w:val="00501062"/>
    <w:rPr>
      <w:vertAlign w:val="superscript"/>
    </w:rPr>
  </w:style>
  <w:style w:type="paragraph" w:styleId="ListParagraph">
    <w:name w:val="List Paragraph"/>
    <w:basedOn w:val="Normal"/>
    <w:uiPriority w:val="34"/>
    <w:qFormat/>
    <w:rsid w:val="00501062"/>
    <w:pPr>
      <w:spacing w:after="200" w:line="276" w:lineRule="auto"/>
      <w:ind w:left="720"/>
      <w:contextualSpacing/>
    </w:pPr>
    <w:rPr>
      <w:rFonts w:ascii="Corbel" w:eastAsia="Calibri" w:hAnsi="Corbel"/>
      <w:sz w:val="22"/>
      <w:szCs w:val="22"/>
    </w:rPr>
  </w:style>
  <w:style w:type="paragraph" w:customStyle="1" w:styleId="Pa3">
    <w:name w:val="Pa3"/>
    <w:basedOn w:val="Normal"/>
    <w:next w:val="Normal"/>
    <w:uiPriority w:val="99"/>
    <w:rsid w:val="00501062"/>
    <w:pPr>
      <w:autoSpaceDE w:val="0"/>
      <w:autoSpaceDN w:val="0"/>
      <w:adjustRightInd w:val="0"/>
      <w:spacing w:after="0" w:line="171" w:lineRule="atLeast"/>
    </w:pPr>
    <w:rPr>
      <w:rFonts w:cs="Arial"/>
      <w:sz w:val="24"/>
      <w:szCs w:val="24"/>
      <w:lang w:eastAsia="en-AU"/>
    </w:rPr>
  </w:style>
  <w:style w:type="character" w:styleId="CommentReference">
    <w:name w:val="annotation reference"/>
    <w:uiPriority w:val="99"/>
    <w:semiHidden/>
    <w:unhideWhenUsed/>
    <w:rsid w:val="00733996"/>
    <w:rPr>
      <w:sz w:val="16"/>
      <w:szCs w:val="16"/>
    </w:rPr>
  </w:style>
  <w:style w:type="paragraph" w:styleId="CommentText">
    <w:name w:val="annotation text"/>
    <w:basedOn w:val="Normal"/>
    <w:link w:val="CommentTextChar"/>
    <w:uiPriority w:val="99"/>
    <w:semiHidden/>
    <w:unhideWhenUsed/>
    <w:rsid w:val="00733996"/>
    <w:rPr>
      <w:sz w:val="20"/>
      <w:szCs w:val="20"/>
    </w:rPr>
  </w:style>
  <w:style w:type="character" w:customStyle="1" w:styleId="CommentTextChar">
    <w:name w:val="Comment Text Char"/>
    <w:link w:val="CommentText"/>
    <w:uiPriority w:val="99"/>
    <w:semiHidden/>
    <w:rsid w:val="00733996"/>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733996"/>
    <w:rPr>
      <w:b/>
      <w:bCs/>
    </w:rPr>
  </w:style>
  <w:style w:type="character" w:customStyle="1" w:styleId="CommentSubjectChar">
    <w:name w:val="Comment Subject Char"/>
    <w:link w:val="CommentSubject"/>
    <w:uiPriority w:val="99"/>
    <w:semiHidden/>
    <w:rsid w:val="00733996"/>
    <w:rPr>
      <w:rFonts w:ascii="Arial" w:eastAsia="Arial" w:hAnsi="Arial" w:cs="Times New Roman"/>
      <w:b/>
      <w:bCs/>
      <w:sz w:val="20"/>
      <w:szCs w:val="20"/>
    </w:rPr>
  </w:style>
  <w:style w:type="paragraph" w:styleId="BalloonText">
    <w:name w:val="Balloon Text"/>
    <w:basedOn w:val="Normal"/>
    <w:link w:val="BalloonTextChar"/>
    <w:uiPriority w:val="99"/>
    <w:semiHidden/>
    <w:unhideWhenUsed/>
    <w:rsid w:val="00733996"/>
    <w:pPr>
      <w:spacing w:after="0"/>
    </w:pPr>
    <w:rPr>
      <w:rFonts w:ascii="Tahoma" w:hAnsi="Tahoma" w:cs="Tahoma"/>
      <w:sz w:val="16"/>
      <w:szCs w:val="16"/>
    </w:rPr>
  </w:style>
  <w:style w:type="character" w:customStyle="1" w:styleId="BalloonTextChar">
    <w:name w:val="Balloon Text Char"/>
    <w:link w:val="BalloonText"/>
    <w:uiPriority w:val="99"/>
    <w:semiHidden/>
    <w:rsid w:val="00733996"/>
    <w:rPr>
      <w:rFonts w:ascii="Tahoma" w:eastAsia="Arial" w:hAnsi="Tahoma" w:cs="Tahoma"/>
      <w:sz w:val="16"/>
      <w:szCs w:val="16"/>
    </w:rPr>
  </w:style>
  <w:style w:type="paragraph" w:customStyle="1" w:styleId="Default">
    <w:name w:val="Default"/>
    <w:rsid w:val="003921BD"/>
    <w:pPr>
      <w:autoSpaceDE w:val="0"/>
      <w:autoSpaceDN w:val="0"/>
      <w:adjustRightInd w:val="0"/>
    </w:pPr>
    <w:rPr>
      <w:rFonts w:cs="Calibri"/>
      <w:color w:val="000000"/>
      <w:sz w:val="24"/>
      <w:szCs w:val="24"/>
      <w:lang w:eastAsia="en-US"/>
    </w:rPr>
  </w:style>
  <w:style w:type="character" w:styleId="FollowedHyperlink">
    <w:name w:val="FollowedHyperlink"/>
    <w:uiPriority w:val="99"/>
    <w:semiHidden/>
    <w:unhideWhenUsed/>
    <w:rsid w:val="001C2FBD"/>
    <w:rPr>
      <w:color w:val="800080"/>
      <w:u w:val="single"/>
    </w:rPr>
  </w:style>
  <w:style w:type="paragraph" w:styleId="Header">
    <w:name w:val="header"/>
    <w:basedOn w:val="Normal"/>
    <w:link w:val="HeaderChar"/>
    <w:uiPriority w:val="99"/>
    <w:unhideWhenUsed/>
    <w:rsid w:val="008616B8"/>
    <w:pPr>
      <w:tabs>
        <w:tab w:val="center" w:pos="4513"/>
        <w:tab w:val="right" w:pos="9026"/>
      </w:tabs>
    </w:pPr>
  </w:style>
  <w:style w:type="character" w:customStyle="1" w:styleId="HeaderChar">
    <w:name w:val="Header Char"/>
    <w:link w:val="Header"/>
    <w:uiPriority w:val="99"/>
    <w:rsid w:val="008616B8"/>
    <w:rPr>
      <w:rFonts w:ascii="Arial" w:eastAsia="Arial" w:hAnsi="Arial"/>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01614">
      <w:bodyDiv w:val="1"/>
      <w:marLeft w:val="0"/>
      <w:marRight w:val="0"/>
      <w:marTop w:val="0"/>
      <w:marBottom w:val="0"/>
      <w:divBdr>
        <w:top w:val="none" w:sz="0" w:space="0" w:color="auto"/>
        <w:left w:val="none" w:sz="0" w:space="0" w:color="auto"/>
        <w:bottom w:val="none" w:sz="0" w:space="0" w:color="auto"/>
        <w:right w:val="single" w:sz="6" w:space="6" w:color="FFFFFF"/>
      </w:divBdr>
      <w:divsChild>
        <w:div w:id="696202079">
          <w:marLeft w:val="0"/>
          <w:marRight w:val="0"/>
          <w:marTop w:val="0"/>
          <w:marBottom w:val="0"/>
          <w:divBdr>
            <w:top w:val="none" w:sz="0" w:space="0" w:color="auto"/>
            <w:left w:val="none" w:sz="0" w:space="0" w:color="auto"/>
            <w:bottom w:val="none" w:sz="0" w:space="0" w:color="auto"/>
            <w:right w:val="none" w:sz="0" w:space="0" w:color="auto"/>
          </w:divBdr>
          <w:divsChild>
            <w:div w:id="1434278496">
              <w:marLeft w:val="0"/>
              <w:marRight w:val="0"/>
              <w:marTop w:val="0"/>
              <w:marBottom w:val="0"/>
              <w:divBdr>
                <w:top w:val="none" w:sz="0" w:space="0" w:color="auto"/>
                <w:left w:val="none" w:sz="0" w:space="0" w:color="auto"/>
                <w:bottom w:val="none" w:sz="0" w:space="0" w:color="auto"/>
                <w:right w:val="none" w:sz="0" w:space="0" w:color="auto"/>
              </w:divBdr>
              <w:divsChild>
                <w:div w:id="78335209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58657389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0712378">
                          <w:blockQuote w:val="1"/>
                          <w:marLeft w:val="340"/>
                          <w:marRight w:val="0"/>
                          <w:marTop w:val="160"/>
                          <w:marBottom w:val="200"/>
                          <w:divBdr>
                            <w:top w:val="none" w:sz="0" w:space="0" w:color="auto"/>
                            <w:left w:val="none" w:sz="0" w:space="0" w:color="auto"/>
                            <w:bottom w:val="none" w:sz="0" w:space="0" w:color="auto"/>
                            <w:right w:val="none" w:sz="0" w:space="0" w:color="auto"/>
                          </w:divBdr>
                        </w:div>
                        <w:div w:id="733702235">
                          <w:blockQuote w:val="1"/>
                          <w:marLeft w:val="340"/>
                          <w:marRight w:val="0"/>
                          <w:marTop w:val="160"/>
                          <w:marBottom w:val="200"/>
                          <w:divBdr>
                            <w:top w:val="none" w:sz="0" w:space="0" w:color="auto"/>
                            <w:left w:val="none" w:sz="0" w:space="0" w:color="auto"/>
                            <w:bottom w:val="none" w:sz="0" w:space="0" w:color="auto"/>
                            <w:right w:val="none" w:sz="0" w:space="0" w:color="auto"/>
                          </w:divBdr>
                        </w:div>
                        <w:div w:id="1365591261">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vic.gov.au/" TargetMode="External"/><Relationship Id="rId13" Type="http://schemas.openxmlformats.org/officeDocument/2006/relationships/hyperlink" Target="http://www.acecqa.gov.au/national-quality-framework/information-shee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cecqa.gov.au/application-forms/provider-approva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law.gov.au/" TargetMode="External"/><Relationship Id="rId5" Type="http://schemas.openxmlformats.org/officeDocument/2006/relationships/webSettings" Target="webSettings.xml"/><Relationship Id="rId15" Type="http://schemas.openxmlformats.org/officeDocument/2006/relationships/hyperlink" Target="http://www.acecqa.gov.au" TargetMode="External"/><Relationship Id="rId10" Type="http://schemas.openxmlformats.org/officeDocument/2006/relationships/hyperlink" Target="http://www.legislation.vic.gov.au/" TargetMode="External"/><Relationship Id="rId4" Type="http://schemas.openxmlformats.org/officeDocument/2006/relationships/settings" Target="settings.xml"/><Relationship Id="rId9" Type="http://schemas.openxmlformats.org/officeDocument/2006/relationships/hyperlink" Target="http://www.comlaw.gov.au/" TargetMode="External"/><Relationship Id="rId14" Type="http://schemas.openxmlformats.org/officeDocument/2006/relationships/hyperlink" Target="http://www.acecq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471724\Downloads\Determining-Responsible-Person-Policy-v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F9D41-07B3-4B63-A057-4C99B77D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Determining-Responsible-Person-Policy-v4</Template>
  <TotalTime>17</TotalTime>
  <Pages>5</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15658</CharactersWithSpaces>
  <SharedDoc>false</SharedDoc>
  <HLinks>
    <vt:vector size="36" baseType="variant">
      <vt:variant>
        <vt:i4>4456513</vt:i4>
      </vt:variant>
      <vt:variant>
        <vt:i4>18</vt:i4>
      </vt:variant>
      <vt:variant>
        <vt:i4>0</vt:i4>
      </vt:variant>
      <vt:variant>
        <vt:i4>5</vt:i4>
      </vt:variant>
      <vt:variant>
        <vt:lpwstr>http://www.acecqa.gov.au/</vt:lpwstr>
      </vt:variant>
      <vt:variant>
        <vt:lpwstr/>
      </vt:variant>
      <vt:variant>
        <vt:i4>4456513</vt:i4>
      </vt:variant>
      <vt:variant>
        <vt:i4>15</vt:i4>
      </vt:variant>
      <vt:variant>
        <vt:i4>0</vt:i4>
      </vt:variant>
      <vt:variant>
        <vt:i4>5</vt:i4>
      </vt:variant>
      <vt:variant>
        <vt:lpwstr>http://www.acecqa.gov.au/</vt:lpwstr>
      </vt:variant>
      <vt:variant>
        <vt:lpwstr/>
      </vt:variant>
      <vt:variant>
        <vt:i4>2883707</vt:i4>
      </vt:variant>
      <vt:variant>
        <vt:i4>12</vt:i4>
      </vt:variant>
      <vt:variant>
        <vt:i4>0</vt:i4>
      </vt:variant>
      <vt:variant>
        <vt:i4>5</vt:i4>
      </vt:variant>
      <vt:variant>
        <vt:lpwstr>http://www.acecqa.gov.au/national-quality-framework/information-sheets/</vt:lpwstr>
      </vt:variant>
      <vt:variant>
        <vt:lpwstr/>
      </vt:variant>
      <vt:variant>
        <vt:i4>3407917</vt:i4>
      </vt:variant>
      <vt:variant>
        <vt:i4>9</vt:i4>
      </vt:variant>
      <vt:variant>
        <vt:i4>0</vt:i4>
      </vt:variant>
      <vt:variant>
        <vt:i4>5</vt:i4>
      </vt:variant>
      <vt:variant>
        <vt:lpwstr>http://acecqa.gov.au/application-forms/provider-approvals/</vt:lpwstr>
      </vt:variant>
      <vt:variant>
        <vt:lpwstr/>
      </vt:variant>
      <vt:variant>
        <vt:i4>6160468</vt:i4>
      </vt:variant>
      <vt:variant>
        <vt:i4>3</vt:i4>
      </vt:variant>
      <vt:variant>
        <vt:i4>0</vt:i4>
      </vt:variant>
      <vt:variant>
        <vt:i4>5</vt:i4>
      </vt:variant>
      <vt:variant>
        <vt:lpwstr>http://www.comlaw.gov.au/</vt:lpwstr>
      </vt:variant>
      <vt:variant>
        <vt:lpwstr/>
      </vt:variant>
      <vt:variant>
        <vt:i4>8323190</vt:i4>
      </vt:variant>
      <vt:variant>
        <vt:i4>0</vt:i4>
      </vt:variant>
      <vt:variant>
        <vt:i4>0</vt:i4>
      </vt:variant>
      <vt:variant>
        <vt:i4>5</vt:i4>
      </vt:variant>
      <vt:variant>
        <vt:lpwstr>http://www.legislation.vic.gov.au/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Cogley</dc:creator>
  <cp:keywords/>
  <cp:lastModifiedBy>Charlotte Tay</cp:lastModifiedBy>
  <cp:revision>5</cp:revision>
  <dcterms:created xsi:type="dcterms:W3CDTF">2017-07-27T06:08:00Z</dcterms:created>
  <dcterms:modified xsi:type="dcterms:W3CDTF">2022-03-09T23:41:00Z</dcterms:modified>
</cp:coreProperties>
</file>